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29" w:rsidRDefault="00EF2F29" w:rsidP="00EF2F29">
      <w:pPr>
        <w:spacing w:line="56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附件一</w:t>
      </w:r>
    </w:p>
    <w:p w:rsidR="00EF2F29" w:rsidRDefault="00EF2F29" w:rsidP="00EF2F29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配置及技术参数要求</w:t>
      </w:r>
    </w:p>
    <w:p w:rsidR="00EF2F29" w:rsidRDefault="00EF2F29" w:rsidP="00EF2F29">
      <w:pPr>
        <w:spacing w:line="560" w:lineRule="exact"/>
        <w:jc w:val="center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第一部分  设备配置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一、印前部分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①用于彩色样报打印的彩色数码印刷机一台；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②全自动打孔弯版机一台；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③显影液处理机一台。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二、供纸部分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两台同速自动接纸机（出、入口张力控制系统）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三、印刷部分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①速度为4.5万的两台塔机；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②自动润滑系统；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③黄油自动加注系统；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④发动面冷却系统；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⑤自动供墨系统；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⑥自动套准系统；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⑦墨色预置（遥控）系统；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⑧喷雾式润版系统。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四、折报部分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①滚式折报机（无轴传动、单三角板）；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②堆积机；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③打包机。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五、设备安装基建部分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①设备安装的基础设施；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②卷筒纸搬运的基础设施；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③降低噪音设施。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六、环保系统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适应于双塔轮转印刷机有害气体处理系统一套。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七、机房温、湿度控制部分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①四台5匹柜式空调；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②一台工业级空气加湿器，有效使用面积200M</w:t>
      </w:r>
      <w:r>
        <w:rPr>
          <w:rFonts w:ascii="仿宋_GB2312" w:eastAsia="仿宋_GB2312" w:hAnsi="仿宋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F2F29" w:rsidRDefault="00EF2F29" w:rsidP="00EF2F2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F2F29" w:rsidRDefault="00EF2F29" w:rsidP="00EF2F29">
      <w:pPr>
        <w:spacing w:line="560" w:lineRule="exact"/>
        <w:jc w:val="center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第二部分  主要技术参数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一、基本性能指标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 传动方式：采用国际知名品牌AC无轴传动。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 印刷生产速度：45000份/小时。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 裁切长度：546</w:t>
      </w:r>
      <w:r>
        <w:rPr>
          <w:rFonts w:ascii="仿宋_GB2312" w:eastAsia="仿宋" w:hAnsi="仿宋" w:hint="eastAsia"/>
          <w:sz w:val="32"/>
          <w:szCs w:val="32"/>
        </w:rPr>
        <w:t>㎜</w:t>
      </w:r>
      <w:r>
        <w:rPr>
          <w:rFonts w:ascii="仿宋_GB2312" w:eastAsia="仿宋_GB2312" w:hAnsi="仿宋" w:hint="eastAsia"/>
          <w:sz w:val="32"/>
          <w:szCs w:val="32"/>
        </w:rPr>
        <w:t>,挑针在上、下均可，单幅小滚筒。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④ 最大印刷面积： 530×860</w:t>
      </w:r>
      <w:r>
        <w:rPr>
          <w:rFonts w:ascii="仿宋_GB2312" w:eastAsia="仿宋" w:hAnsi="仿宋" w:hint="eastAsia"/>
          <w:sz w:val="32"/>
          <w:szCs w:val="32"/>
        </w:rPr>
        <w:t>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⑤ 印版规格：890</w:t>
      </w:r>
      <w:r>
        <w:rPr>
          <w:rFonts w:ascii="仿宋_GB2312" w:eastAsia="仿宋" w:hAnsi="仿宋" w:hint="eastAsia"/>
          <w:sz w:val="32"/>
          <w:szCs w:val="32"/>
        </w:rPr>
        <w:t>㎜</w:t>
      </w:r>
      <w:r>
        <w:rPr>
          <w:rFonts w:ascii="仿宋_GB2312" w:eastAsia="仿宋_GB2312" w:hAnsi="仿宋" w:hint="eastAsia"/>
          <w:sz w:val="32"/>
          <w:szCs w:val="32"/>
        </w:rPr>
        <w:t>×575</w:t>
      </w:r>
      <w:r>
        <w:rPr>
          <w:rFonts w:ascii="仿宋_GB2312" w:eastAsia="仿宋" w:hAnsi="仿宋" w:hint="eastAsia"/>
          <w:sz w:val="32"/>
          <w:szCs w:val="32"/>
        </w:rPr>
        <w:t>㎜</w:t>
      </w:r>
      <w:r>
        <w:rPr>
          <w:rFonts w:ascii="仿宋_GB2312" w:eastAsia="仿宋_GB2312" w:hAnsi="仿宋" w:hint="eastAsia"/>
          <w:sz w:val="32"/>
          <w:szCs w:val="32"/>
        </w:rPr>
        <w:t>×0.3</w:t>
      </w:r>
      <w:r>
        <w:rPr>
          <w:rFonts w:ascii="仿宋_GB2312" w:eastAsia="仿宋" w:hAnsi="仿宋" w:hint="eastAsia"/>
          <w:sz w:val="32"/>
          <w:szCs w:val="32"/>
        </w:rPr>
        <w:t>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⑥ 印版径轴向调节量：±3mm。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⑦ 适应国产或进口新闻纸。适应纸张定量：40</w:t>
      </w:r>
      <w:r>
        <w:rPr>
          <w:rFonts w:ascii="仿宋_GB2312" w:eastAsia="仿宋" w:hAnsi="仿宋" w:hint="eastAsia"/>
          <w:sz w:val="32"/>
          <w:szCs w:val="32"/>
        </w:rPr>
        <w:t>ɡ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" w:hAnsi="仿宋" w:hint="eastAsia"/>
          <w:sz w:val="32"/>
          <w:szCs w:val="32"/>
        </w:rPr>
        <w:t>㎡</w:t>
      </w:r>
      <w:r>
        <w:rPr>
          <w:rFonts w:ascii="仿宋_GB2312" w:eastAsia="仿宋_GB2312" w:hAnsi="仿宋" w:hint="eastAsia"/>
          <w:sz w:val="32"/>
          <w:szCs w:val="32"/>
        </w:rPr>
        <w:t>～60</w:t>
      </w:r>
      <w:r>
        <w:rPr>
          <w:rFonts w:ascii="仿宋_GB2312" w:eastAsia="仿宋" w:hAnsi="仿宋" w:hint="eastAsia"/>
          <w:sz w:val="32"/>
          <w:szCs w:val="32"/>
        </w:rPr>
        <w:t>ɡ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" w:hAnsi="仿宋" w:hint="eastAsia"/>
          <w:sz w:val="32"/>
          <w:szCs w:val="32"/>
        </w:rPr>
        <w:t>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⑧ 套准精度：正常印刷时，任意2色之间套准误差≤±0.05</w:t>
      </w:r>
      <w:r>
        <w:rPr>
          <w:rFonts w:ascii="仿宋_GB2312" w:eastAsia="仿宋" w:hAnsi="仿宋" w:hint="eastAsia"/>
          <w:sz w:val="32"/>
          <w:szCs w:val="32"/>
        </w:rPr>
        <w:t>㎜</w:t>
      </w:r>
      <w:r>
        <w:rPr>
          <w:rFonts w:ascii="仿宋_GB2312" w:eastAsia="仿宋_GB2312" w:hAnsi="仿宋" w:hint="eastAsia"/>
          <w:sz w:val="32"/>
          <w:szCs w:val="32"/>
        </w:rPr>
        <w:t>，升降机速时无明显变化；接纸时套准误差≤±0.10</w:t>
      </w:r>
      <w:r>
        <w:rPr>
          <w:rFonts w:ascii="仿宋_GB2312" w:eastAsia="仿宋" w:hAnsi="仿宋" w:hint="eastAsia"/>
          <w:sz w:val="32"/>
          <w:szCs w:val="32"/>
        </w:rPr>
        <w:t>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⑨ 投标时必须根据用户的场地提供最合理的设备布置图。</w:t>
      </w:r>
    </w:p>
    <w:p w:rsidR="00EF2F29" w:rsidRDefault="00EF2F29" w:rsidP="00EF2F2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二、各部分具体技术要求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（一）主机部分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1．纸路方案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每个印刷塔都可实现4+4、4+2、4+1、2+2、2+1到1+1色的产品印刷。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2．纸路安全及控制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（1）每个印刷单元都应配断纸检测、断纸刀装置及1台国际知名品牌伺服电机。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（2）伺服电机与齿轮的联接采用无齿隙弹性联轴器联接结构。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（3）供纸架出口、折页机进口等必要的部位设置断纸检测器。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（二）印刷装置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1．滚筒排列形式、布局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四个叠合成4＋4色高塔。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2．滚筒结构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（1）印刷滚筒采用整体具备高硬度、耐酸、耐碱、耐腐蚀性高级不锈钢材料加工而成。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（2）胶皮滚筒采用卷轴式装橡皮布结构。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（3）滚筒两端配有滚枕，滚枕刮污毛毡采用扭簧结构。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（4）新型滚枕润滑装置，自动定量润滑。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（5）印版滚筒具有快速上版定位销。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（6）橡皮滚筒带高速轮转专用优质气垫橡皮布，卷轴式销紧装置。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（7）滚筒轴承采用进口的四角接触式圆锥滚子轴承，采用印刷设备专用的国际知名品牌轴承。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（8）关键部位使用国际知名品牌气缸。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lastRenderedPageBreak/>
        <w:t>（三）水墨平衡系统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1.采用喷水润版方式。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2.墨斗辊由单独免维护电机驱动，既能与整机联动又可单独调节。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3.串水辊和串墨辊采用高强度特制圆柱轴承，高速运转时窜动平稳。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（四）印刷主体结构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发动面墙板采用整体浇注框架式结构。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（五）润湿系统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1.采用水冷式中央润版水箱，供水及制冷能力足够全系统运行。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2.润版水箱能适应多种类型润版添加剂。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（六）墨色遥控系统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1.配置CIP3墨量预置功能。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2.可实现单机组或全机墨色遥控。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（七）油温控制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1.每个塔都配有独立的内置式齿轮泵循环冷冻油箱。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2.配备自动加油脂装置、滚枕润滑装置。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（八）折报机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1.具有独立的AC电机驱动系统，生产速度满足45000份/小时。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2.具有双纸路对开折报能力，具有塞纸自动停车功能。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3.拉纸辊之间装有超声波断纸检测及断纸刀装置。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4.裁纸滚凸轮仿真曲线优化至戳针位置。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lastRenderedPageBreak/>
        <w:t>5.折页三角板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（1）折页三角板处设有两把中破刀。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（2）折页三角板为单三角板。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（3）三角板带气垫。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（4）三角板鼻尖为弹性鼻尖。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6.折页滚筒上控制折刀咬力为扭簧结构。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7.进入收报辊前的毛刷辊通过同步带实现主动。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8.收报辊的相位在机器运行中可调整。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（九）同速全自动接纸机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1.供纸架适应印刷机的需要，能满足设备最高印速接纸要求。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2.满足最大纸卷直径1270mm，最大纸卷宽度1020mm,最大纸卷重量1000公斤要求。接纸后残卷直径≤115</w:t>
      </w:r>
      <w:r>
        <w:rPr>
          <w:rFonts w:ascii="仿宋_GB2312" w:eastAsia="仿宋" w:hAnsi="仿宋" w:hint="eastAsia"/>
          <w:sz w:val="32"/>
          <w:szCs w:val="32"/>
        </w:rPr>
        <w:t>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F2F29" w:rsidRDefault="00EF2F29" w:rsidP="00EF2F29">
      <w:pPr>
        <w:spacing w:line="560" w:lineRule="exact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（十）报纸堆积机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1.完全满足双纸路45000份/小时的堆报速度。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2.堆积机可手动或自动跟踪印刷机速度，具有准确的计数功能。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3.具有自动识别并排出接纸接头的功能。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4.堆积时反叠及每垛份数可调。出报台带气垫桌面。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5.堆积仓纵横尺寸可调范围适应中国报纸、书刊标准。</w:t>
      </w:r>
    </w:p>
    <w:p w:rsidR="00EF2F29" w:rsidRDefault="00EF2F29" w:rsidP="00EF2F29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三、数码彩色印刷机</w:t>
      </w:r>
    </w:p>
    <w:p w:rsidR="00EF2F29" w:rsidRDefault="00EF2F29" w:rsidP="00EF2F29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①成像技术：≥32束激光成像技术；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②打印分辨率：≥2400×2400dpi；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③打印速度：≥80印/分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④支持纸张克重（单双面）：52g—300g；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⑤正背对位误差：≤0.5mm；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⑥最大用纸尺寸：≥330×487mm；</w:t>
      </w:r>
    </w:p>
    <w:p w:rsidR="00EF2F29" w:rsidRDefault="00EF2F29" w:rsidP="00EF2F2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⑦预热时间≤360秒。</w:t>
      </w:r>
    </w:p>
    <w:p w:rsidR="0006767B" w:rsidRDefault="0006767B">
      <w:pPr>
        <w:rPr>
          <w:rFonts w:hint="eastAsia"/>
        </w:rPr>
      </w:pPr>
      <w:bookmarkStart w:id="0" w:name="_GoBack"/>
      <w:bookmarkEnd w:id="0"/>
    </w:p>
    <w:sectPr w:rsidR="0006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7B"/>
    <w:rsid w:val="0006767B"/>
    <w:rsid w:val="00E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2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2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2015-09-24T09:49:00Z</dcterms:created>
  <dcterms:modified xsi:type="dcterms:W3CDTF">2015-09-24T09:49:00Z</dcterms:modified>
</cp:coreProperties>
</file>