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bookmarkStart w:id="0" w:name="_GoBack"/>
      <w:r>
        <w:rPr>
          <w:rFonts w:hint="eastAsia" w:eastAsia="黑体"/>
          <w:b/>
          <w:sz w:val="36"/>
          <w:szCs w:val="36"/>
          <w:lang w:val="en-US" w:eastAsia="zh-CN"/>
        </w:rPr>
        <w:t>军人门诊</w:t>
      </w:r>
      <w:r>
        <w:rPr>
          <w:rFonts w:hint="eastAsia" w:eastAsia="黑体"/>
          <w:b/>
          <w:sz w:val="36"/>
          <w:szCs w:val="36"/>
        </w:rPr>
        <w:t>“</w:t>
      </w:r>
      <w:r>
        <w:rPr>
          <w:rFonts w:hint="eastAsia" w:eastAsia="黑体"/>
          <w:b/>
          <w:sz w:val="36"/>
          <w:szCs w:val="36"/>
          <w:lang w:val="en-US" w:eastAsia="zh-CN"/>
        </w:rPr>
        <w:t>笔记本电脑”</w:t>
      </w:r>
      <w:r>
        <w:rPr>
          <w:rFonts w:eastAsia="黑体"/>
          <w:b/>
          <w:sz w:val="36"/>
          <w:szCs w:val="36"/>
        </w:rPr>
        <w:t>招标需求一览表</w:t>
      </w:r>
    </w:p>
    <w:bookmarkEnd w:id="0"/>
    <w:tbl>
      <w:tblPr>
        <w:tblStyle w:val="2"/>
        <w:tblW w:w="10119" w:type="dxa"/>
        <w:jc w:val="center"/>
        <w:tblInd w:w="-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4698"/>
        <w:gridCol w:w="3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236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产品主要用途描述</w:t>
            </w:r>
          </w:p>
        </w:tc>
        <w:tc>
          <w:tcPr>
            <w:tcW w:w="7751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用于军人门诊办公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36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安装场地及使用环境</w:t>
            </w:r>
          </w:p>
        </w:tc>
        <w:tc>
          <w:tcPr>
            <w:tcW w:w="7751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9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6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产品功能或配置名称</w:t>
            </w:r>
          </w:p>
        </w:tc>
        <w:tc>
          <w:tcPr>
            <w:tcW w:w="7751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具体性能、参数要求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dxa"/>
            <w:vMerge w:val="restart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笔记本电脑</w:t>
            </w:r>
          </w:p>
        </w:tc>
        <w:tc>
          <w:tcPr>
            <w:tcW w:w="7751" w:type="dxa"/>
            <w:gridSpan w:val="2"/>
            <w:noWrap w:val="0"/>
            <w:vAlign w:val="center"/>
          </w:tcPr>
          <w:p>
            <w:pPr>
              <w:pStyle w:val="4"/>
              <w:ind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18"/>
              </w:rPr>
              <w:t>★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1.配置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高于（含）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CPU：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i5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低功耗版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内存：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 xml:space="preserve">8G 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硬盘：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256G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SSD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</w:pPr>
          </w:p>
        </w:tc>
        <w:tc>
          <w:tcPr>
            <w:tcW w:w="7751" w:type="dxa"/>
            <w:gridSpan w:val="2"/>
            <w:noWrap w:val="0"/>
            <w:vAlign w:val="center"/>
          </w:tcPr>
          <w:p>
            <w:pPr>
              <w:pStyle w:val="4"/>
              <w:ind w:firstLine="0" w:firstLineChars="0"/>
              <w:rPr>
                <w:rFonts w:hint="default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18"/>
              </w:rPr>
              <w:t>★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2.屏幕分辨率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2K，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屏幕尺寸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13英寸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</w:pPr>
          </w:p>
        </w:tc>
        <w:tc>
          <w:tcPr>
            <w:tcW w:w="7751" w:type="dxa"/>
            <w:gridSpan w:val="2"/>
            <w:noWrap w:val="0"/>
            <w:vAlign w:val="center"/>
          </w:tcPr>
          <w:p>
            <w:pPr>
              <w:pStyle w:val="4"/>
              <w:ind w:firstLine="0" w:firstLineChars="0"/>
              <w:rPr>
                <w:rFonts w:hint="default" w:ascii="宋体" w:hAnsi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18"/>
              </w:rPr>
              <w:t>★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3.具有指纹功能和背光键盘，且整机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超轻薄微边框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</w:pPr>
          </w:p>
        </w:tc>
        <w:tc>
          <w:tcPr>
            <w:tcW w:w="7751" w:type="dxa"/>
            <w:gridSpan w:val="2"/>
            <w:noWrap w:val="0"/>
            <w:vAlign w:val="center"/>
          </w:tcPr>
          <w:p>
            <w:pPr>
              <w:pStyle w:val="4"/>
              <w:ind w:firstLine="0" w:firstLineChars="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▲</w:t>
            </w:r>
            <w:r>
              <w:rPr>
                <w:rFonts w:hint="eastAsia" w:ascii="宋体" w:hAnsi="宋体" w:cs="宋体"/>
                <w:kern w:val="2"/>
                <w:sz w:val="22"/>
                <w:szCs w:val="22"/>
                <w:lang w:val="en-US" w:eastAsia="zh-CN" w:bidi="ar-SA"/>
              </w:rPr>
              <w:t>4.参考品牌华为MateBook 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主要配置</w:t>
            </w:r>
          </w:p>
        </w:tc>
        <w:tc>
          <w:tcPr>
            <w:tcW w:w="305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7066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en-US" w:eastAsia="zh-CN"/>
              </w:rPr>
              <w:t>笔记本电脑</w:t>
            </w:r>
          </w:p>
        </w:tc>
        <w:tc>
          <w:tcPr>
            <w:tcW w:w="305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0119" w:type="dxa"/>
            <w:gridSpan w:val="3"/>
            <w:noWrap w:val="0"/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/>
                <w:sz w:val="24"/>
                <w:szCs w:val="20"/>
              </w:rPr>
            </w:pPr>
            <w:r>
              <w:rPr>
                <w:rFonts w:hint="eastAsia" w:ascii="楷体_GB2312" w:hAnsi="宋体" w:eastAsia="楷体_GB2312"/>
                <w:b/>
                <w:sz w:val="24"/>
                <w:szCs w:val="20"/>
              </w:rPr>
              <w:t>备注： 1、带“</w:t>
            </w:r>
            <w:r>
              <w:rPr>
                <w:rFonts w:hint="eastAsia"/>
                <w:sz w:val="24"/>
                <w:szCs w:val="18"/>
              </w:rPr>
              <w:t>★</w:t>
            </w:r>
            <w:r>
              <w:rPr>
                <w:rFonts w:hint="eastAsia" w:ascii="楷体_GB2312" w:hAnsi="宋体" w:eastAsia="楷体_GB2312"/>
                <w:b/>
                <w:sz w:val="24"/>
                <w:szCs w:val="20"/>
              </w:rPr>
              <w:t xml:space="preserve">”符号项目为必须满足指标，若出现一项负偏离，则视为废标 </w:t>
            </w:r>
            <w:r>
              <w:rPr>
                <w:rFonts w:hint="eastAsia" w:ascii="楷体_GB2312" w:hAnsi="宋体" w:eastAsia="楷体_GB2312"/>
                <w:b/>
                <w:sz w:val="24"/>
                <w:szCs w:val="20"/>
                <w:lang w:eastAsia="zh-CN"/>
              </w:rPr>
              <w:t>；</w:t>
            </w:r>
            <w:r>
              <w:rPr>
                <w:rFonts w:hint="eastAsia" w:ascii="楷体_GB2312" w:hAnsi="宋体" w:eastAsia="楷体_GB2312"/>
                <w:b/>
                <w:sz w:val="24"/>
                <w:szCs w:val="20"/>
              </w:rPr>
              <w:t xml:space="preserve">     </w:t>
            </w:r>
          </w:p>
          <w:p>
            <w:pPr>
              <w:spacing w:line="300" w:lineRule="auto"/>
              <w:ind w:firstLine="843" w:firstLineChars="350"/>
              <w:rPr>
                <w:rFonts w:hint="eastAsia" w:ascii="楷体_GB2312" w:hAnsi="宋体" w:eastAsia="楷体_GB2312"/>
                <w:b/>
                <w:sz w:val="24"/>
                <w:szCs w:val="20"/>
                <w:lang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szCs w:val="20"/>
              </w:rPr>
              <w:t>2、带“▲”符号项目为重要指标</w:t>
            </w:r>
            <w:r>
              <w:rPr>
                <w:rFonts w:hint="eastAsia" w:ascii="楷体_GB2312" w:hAnsi="宋体" w:eastAsia="楷体_GB2312"/>
                <w:b/>
                <w:sz w:val="24"/>
                <w:szCs w:val="20"/>
                <w:lang w:eastAsia="zh-CN"/>
              </w:rPr>
              <w:t>；</w:t>
            </w:r>
          </w:p>
          <w:p>
            <w:pPr>
              <w:spacing w:line="300" w:lineRule="auto"/>
              <w:ind w:firstLine="843" w:firstLineChars="350"/>
              <w:rPr>
                <w:rFonts w:hint="eastAsia" w:ascii="宋体" w:hAnsi="宋体" w:eastAsia="楷体_GB2312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楷体_GB2312" w:hAnsi="宋体" w:eastAsia="楷体_GB2312"/>
                <w:b/>
                <w:sz w:val="24"/>
                <w:szCs w:val="20"/>
              </w:rPr>
              <w:t>3、其他项目为普通指标</w:t>
            </w:r>
            <w:r>
              <w:rPr>
                <w:rFonts w:hint="eastAsia" w:ascii="楷体_GB2312" w:hAnsi="宋体" w:eastAsia="楷体_GB2312"/>
                <w:b/>
                <w:sz w:val="24"/>
                <w:szCs w:val="20"/>
                <w:lang w:eastAsia="zh-CN"/>
              </w:rPr>
              <w:t>；</w:t>
            </w:r>
          </w:p>
        </w:tc>
      </w:tr>
    </w:tbl>
    <w:p>
      <w:pPr>
        <w:spacing w:line="300" w:lineRule="auto"/>
        <w:ind w:firstLine="984" w:firstLineChars="350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>科室主任：                            科室代表：</w:t>
      </w:r>
    </w:p>
    <w:p>
      <w:pPr>
        <w:ind w:firstLine="5903" w:firstLineChars="2100"/>
      </w:pPr>
      <w:r>
        <w:rPr>
          <w:rFonts w:hint="eastAsia"/>
          <w:b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E6322"/>
    <w:rsid w:val="10EE6322"/>
    <w:rsid w:val="22556256"/>
    <w:rsid w:val="383B6723"/>
    <w:rsid w:val="46BC7D77"/>
    <w:rsid w:val="5DA8674C"/>
    <w:rsid w:val="6BC1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2019-03-21T09:13:00Z</dcterms:created>
  <dc:creator>cgzx</dc:creator>
  <cp:lastModifiedBy>cgzx</cp:lastModifiedBy>
  <dcterms:modified xsi:type="dcterms:W3CDTF">2019-04-11T06:34:28Z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