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left"/>
        <w:rPr>
          <w:rFonts w:ascii="黑体" w:hAnsi="宋体" w:eastAsia="黑体"/>
          <w:sz w:val="30"/>
          <w:szCs w:val="30"/>
        </w:rPr>
      </w:pPr>
      <w:bookmarkStart w:id="0" w:name="_GoBack"/>
      <w:bookmarkEnd w:id="0"/>
      <w:r>
        <w:rPr>
          <w:rFonts w:hint="eastAsia" w:ascii="黑体" w:hAnsi="宋体" w:eastAsia="黑体"/>
          <w:sz w:val="30"/>
          <w:szCs w:val="30"/>
        </w:rPr>
        <w:t>附件2</w:t>
      </w:r>
    </w:p>
    <w:p>
      <w:pPr>
        <w:spacing w:afterLines="50"/>
        <w:jc w:val="center"/>
        <w:rPr>
          <w:rFonts w:ascii="黑体" w:hAnsi="宋体" w:eastAsia="黑体"/>
          <w:b/>
          <w:sz w:val="36"/>
          <w:szCs w:val="36"/>
        </w:rPr>
      </w:pPr>
      <w:r>
        <w:rPr>
          <w:rFonts w:hint="eastAsia" w:ascii="黑体" w:hAnsi="宋体" w:eastAsia="黑体"/>
          <w:b/>
          <w:sz w:val="36"/>
          <w:szCs w:val="36"/>
        </w:rPr>
        <w:t>神经外科“</w:t>
      </w:r>
      <w:r>
        <w:rPr>
          <w:rFonts w:hint="eastAsia" w:eastAsia="黑体"/>
          <w:b/>
          <w:sz w:val="36"/>
          <w:szCs w:val="36"/>
        </w:rPr>
        <w:t>综合手术动力系统</w:t>
      </w:r>
      <w:r>
        <w:rPr>
          <w:rFonts w:hint="eastAsia" w:ascii="黑体" w:hAnsi="宋体" w:eastAsia="黑体"/>
          <w:b/>
          <w:sz w:val="36"/>
          <w:szCs w:val="36"/>
        </w:rPr>
        <w:t>”技术参数需求表</w:t>
      </w:r>
    </w:p>
    <w:tbl>
      <w:tblPr>
        <w:tblStyle w:val="6"/>
        <w:tblW w:w="9668" w:type="dxa"/>
        <w:jc w:val="center"/>
        <w:tblInd w:w="4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26"/>
        <w:gridCol w:w="5241"/>
        <w:gridCol w:w="22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226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产品用途及使用范围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华文中宋" w:hAnsi="华文中宋" w:eastAsia="华文中宋" w:cs="华文中宋"/>
                <w:bCs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综合手术动力系统，主要用于神经外科，也可用于创伤外科、脊柱外科、颌面外科、耳鼻咽喉科、眼科等的手术治疗，对骨质具有钻、铣、切、磨、割等功能。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226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安装场地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神经外科手术室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226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使用环境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spacing w:line="320" w:lineRule="exact"/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无特殊要求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技术参数要求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2226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主要配置名称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具体性能与参数要求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主机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安全要求</w:t>
            </w:r>
          </w:p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主机规格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1、综合手术动力平台，对骨质具有钻、铣、切、磨、割等功能。电源输入： 100-240VAC,50-60HZ  , 液晶互动触摸屏：屏幕尺寸﹥8.英寸，分辨率不小于480×640象素，显示并控制转速、转向（顺、逆时针旋转）、显示并控制手柄连接状态、注水量等，可提供不同类型手术的数据参数，内设帮助菜单，直观图示操作步骤。</w:t>
            </w:r>
          </w:p>
          <w:p>
            <w:pPr>
              <w:rPr>
                <w:sz w:val="21"/>
                <w:szCs w:val="21"/>
              </w:rPr>
            </w:pPr>
            <w:r>
              <w:rPr>
                <w:rFonts w:ascii="Segoe UI Symbol" w:hAnsi="Segoe UI Symbol" w:cs="Segoe UI Symbol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2、 预留7个以上功能接口，可同时连接3个及以上的马达；须配置高速电钻和神经监护仪、内窥镜冲洗系统、脊柱外科刨削系统、高速水冷耳钻和显微耳钻等的接口等。</w:t>
            </w:r>
          </w:p>
          <w:p>
            <w:pPr>
              <w:rPr>
                <w:rFonts w:asciiTheme="minorEastAsia" w:hAnsiTheme="minorEastAsia"/>
                <w:sz w:val="21"/>
                <w:szCs w:val="21"/>
              </w:rPr>
            </w:pPr>
            <w:r>
              <w:rPr>
                <w:rFonts w:ascii="Segoe UI Symbol" w:hAnsi="Segoe UI Symbol" w:cs="Segoe UI Symbol"/>
                <w:sz w:val="21"/>
                <w:szCs w:val="21"/>
              </w:rPr>
              <w:t>★</w:t>
            </w:r>
            <w:r>
              <w:rPr>
                <w:rFonts w:hint="eastAsia"/>
                <w:sz w:val="21"/>
                <w:szCs w:val="21"/>
              </w:rPr>
              <w:t>3、可以连接术中神经监护仪：提供神经监护功能。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电动马达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eastAsia="楷体_GB2312"/>
                <w:b/>
                <w:sz w:val="21"/>
                <w:szCs w:val="21"/>
              </w:rPr>
              <w:t>▲</w:t>
            </w:r>
            <w:r>
              <w:rPr>
                <w:rFonts w:hint="eastAsia" w:ascii="宋体" w:hAnsi="宋体" w:eastAsia="楷体_GB2312" w:cs="宋体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、马达转速</w:t>
            </w:r>
            <w:r>
              <w:rPr>
                <w:rFonts w:hint="eastAsia"/>
                <w:sz w:val="21"/>
                <w:szCs w:val="21"/>
              </w:rPr>
              <w:t>≥75000转/分钟，马达最大输出功率138W，马达可正反旋转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同一个马达可连接所有的驱动附件（手柄）；</w:t>
            </w:r>
          </w:p>
          <w:p>
            <w:pPr>
              <w:rPr>
                <w:rFonts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、</w:t>
            </w:r>
            <w:r>
              <w:rPr>
                <w:rFonts w:hint="eastAsia"/>
                <w:sz w:val="21"/>
                <w:szCs w:val="21"/>
              </w:rPr>
              <w:t>高扭矩，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</w:rPr>
              <w:t>马达最大扭矩：EHS 不小于41mN—m；噪音水平≤58分贝；发热性能：20℃环境温度下，持续25分钟马达表面温度≤40℃；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马达线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6、</w:t>
            </w:r>
            <w:r>
              <w:rPr>
                <w:rFonts w:hint="eastAsia"/>
                <w:sz w:val="21"/>
                <w:szCs w:val="21"/>
              </w:rPr>
              <w:t>耐高温高压消毒，马达电缆两端通用，不会接错而致污染</w:t>
            </w:r>
            <w:r>
              <w:rPr>
                <w:rFonts w:hint="eastAsia" w:ascii="宋体" w:hAnsi="宋体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马达线缆长度≥4m。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2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脚踏开关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7、</w:t>
            </w:r>
            <w:r>
              <w:rPr>
                <w:rFonts w:hint="eastAsia"/>
                <w:sz w:val="21"/>
                <w:szCs w:val="21"/>
              </w:rPr>
              <w:t>无级变速多功能脚踏，具备控制马达开停、马达转速、马达转向（顺、逆时针旋转）、多个手柄之间切换等功能；线缆长度≥3m</w:t>
            </w:r>
            <w:r>
              <w:rPr>
                <w:rFonts w:hint="eastAsia" w:ascii="宋体" w:hAnsi="宋体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具有对马达进行无级变速及定速动力两种模式操作功能。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驱动附件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8、</w:t>
            </w:r>
            <w:r>
              <w:rPr>
                <w:rFonts w:hint="eastAsia"/>
                <w:sz w:val="21"/>
                <w:szCs w:val="21"/>
              </w:rPr>
              <w:t>驱动附件：可选择类型不少于24种，包括金属切割附件、骨研磨驱动附件和显微驱动附件，显微驱动附件支持多种微创手术，包括角度、弧形管道，外径＜ 5mm。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直行驱动附件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9、</w:t>
            </w:r>
            <w:r>
              <w:rPr>
                <w:rFonts w:hint="eastAsia" w:ascii="宋体" w:hAnsi="宋体"/>
                <w:sz w:val="21"/>
                <w:szCs w:val="21"/>
              </w:rPr>
              <w:t>磨钻手柄，管径不大于</w:t>
            </w:r>
            <w:r>
              <w:rPr>
                <w:rFonts w:ascii="宋体" w:hAnsi="宋体"/>
                <w:sz w:val="21"/>
                <w:szCs w:val="21"/>
              </w:rPr>
              <w:t>3.2mm</w:t>
            </w:r>
            <w:r>
              <w:rPr>
                <w:rFonts w:hint="eastAsia" w:ascii="宋体" w:hAnsi="宋体"/>
                <w:sz w:val="21"/>
                <w:szCs w:val="21"/>
              </w:rPr>
              <w:t>，长度不小于</w:t>
            </w:r>
            <w:r>
              <w:rPr>
                <w:rFonts w:ascii="宋体" w:hAnsi="宋体"/>
                <w:sz w:val="21"/>
                <w:szCs w:val="21"/>
              </w:rPr>
              <w:t>9cm</w:t>
            </w:r>
            <w:r>
              <w:rPr>
                <w:rFonts w:hint="eastAsia" w:ascii="宋体" w:hAnsi="宋体"/>
                <w:sz w:val="21"/>
                <w:szCs w:val="21"/>
              </w:rPr>
              <w:t>，带双重锁具，可高温高压消毒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8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铣刀驱动附件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10、</w:t>
            </w:r>
            <w:r>
              <w:rPr>
                <w:rFonts w:hint="eastAsia" w:ascii="宋体" w:hAnsi="宋体"/>
                <w:sz w:val="21"/>
                <w:szCs w:val="21"/>
              </w:rPr>
              <w:t>开启颅骨或者椎板用，具有</w:t>
            </w:r>
            <w:r>
              <w:rPr>
                <w:rFonts w:ascii="宋体" w:hAnsi="宋体"/>
                <w:sz w:val="21"/>
                <w:szCs w:val="21"/>
              </w:rPr>
              <w:t>360</w:t>
            </w:r>
            <w:r>
              <w:rPr>
                <w:rFonts w:hint="eastAsia" w:ascii="宋体" w:hAnsi="宋体"/>
                <w:sz w:val="21"/>
                <w:szCs w:val="21"/>
              </w:rPr>
              <w:t>°可旋转，管径不大于</w:t>
            </w:r>
            <w:r>
              <w:rPr>
                <w:rFonts w:ascii="宋体" w:hAnsi="宋体"/>
                <w:sz w:val="21"/>
                <w:szCs w:val="21"/>
              </w:rPr>
              <w:t>2.4mm</w:t>
            </w:r>
            <w:r>
              <w:rPr>
                <w:rFonts w:hint="eastAsia" w:ascii="宋体" w:hAnsi="宋体"/>
                <w:sz w:val="21"/>
                <w:szCs w:val="21"/>
              </w:rPr>
              <w:t>，长度不小于</w:t>
            </w:r>
            <w:r>
              <w:rPr>
                <w:rFonts w:ascii="宋体" w:hAnsi="宋体"/>
                <w:sz w:val="21"/>
                <w:szCs w:val="21"/>
              </w:rPr>
              <w:t>8cm</w:t>
            </w:r>
            <w:r>
              <w:rPr>
                <w:rFonts w:hint="eastAsia" w:ascii="宋体" w:hAnsi="宋体"/>
                <w:sz w:val="21"/>
                <w:szCs w:val="21"/>
              </w:rPr>
              <w:t>。功能：铣刀手柄和保护鞘为一体化设计，不能拆卸，保证铣刀运转安全，具有硬脑膜保护鞘。</w:t>
            </w:r>
            <w:r>
              <w:rPr>
                <w:rFonts w:hint="eastAsia" w:asciiTheme="majorEastAsia" w:hAnsiTheme="majorEastAsia" w:eastAsiaTheme="majorEastAsia"/>
                <w:sz w:val="21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自停开颅减速器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eastAsia="楷体_GB2312"/>
                <w:b/>
                <w:sz w:val="21"/>
                <w:szCs w:val="21"/>
              </w:rPr>
              <w:t>▲</w:t>
            </w:r>
            <w:r>
              <w:rPr>
                <w:rFonts w:hint="eastAsia" w:eastAsia="楷体_GB2312"/>
                <w:b/>
                <w:sz w:val="21"/>
                <w:szCs w:val="21"/>
                <w:lang w:val="en-US" w:eastAsia="zh-CN"/>
              </w:rPr>
              <w:t>11、</w:t>
            </w:r>
            <w:r>
              <w:rPr>
                <w:rFonts w:hint="eastAsia" w:ascii="宋体" w:hAnsi="宋体"/>
                <w:sz w:val="21"/>
                <w:szCs w:val="21"/>
              </w:rPr>
              <w:t>钻颅孔，每分钟</w:t>
            </w:r>
            <w:r>
              <w:rPr>
                <w:rFonts w:ascii="宋体" w:hAnsi="宋体"/>
                <w:sz w:val="21"/>
                <w:szCs w:val="21"/>
              </w:rPr>
              <w:t>1000</w:t>
            </w:r>
            <w:r>
              <w:rPr>
                <w:rFonts w:hint="eastAsia" w:ascii="宋体" w:hAnsi="宋体"/>
                <w:sz w:val="21"/>
                <w:szCs w:val="21"/>
              </w:rPr>
              <w:t>-15000转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1"/>
                <w:szCs w:val="21"/>
              </w:rPr>
              <w:t>，自停开颅孔装置，保证不会损伤硬脑膜。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显微弧度驱动一体化钻头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asciiTheme="minorEastAsia" w:hAnsiTheme="minorEastAsia"/>
                <w:b/>
                <w:sz w:val="21"/>
                <w:szCs w:val="21"/>
              </w:rPr>
            </w:pPr>
            <w:r>
              <w:rPr>
                <w:rFonts w:eastAsia="楷体_GB2312"/>
                <w:b/>
                <w:sz w:val="21"/>
                <w:szCs w:val="21"/>
              </w:rPr>
              <w:t>▲</w:t>
            </w:r>
            <w:r>
              <w:rPr>
                <w:rFonts w:hint="eastAsia" w:eastAsia="楷体_GB2312"/>
                <w:b/>
                <w:sz w:val="21"/>
                <w:szCs w:val="21"/>
                <w:lang w:val="en-US" w:eastAsia="zh-CN"/>
              </w:rPr>
              <w:t>12、</w:t>
            </w:r>
            <w:r>
              <w:rPr>
                <w:rFonts w:hint="eastAsia" w:ascii="宋体" w:hAnsi="宋体"/>
                <w:sz w:val="21"/>
                <w:szCs w:val="21"/>
              </w:rPr>
              <w:t>角度不小于</w:t>
            </w:r>
            <w:r>
              <w:rPr>
                <w:rFonts w:ascii="宋体" w:hAnsi="宋体"/>
                <w:sz w:val="21"/>
                <w:szCs w:val="21"/>
              </w:rPr>
              <w:t>15</w:t>
            </w:r>
            <w:r>
              <w:rPr>
                <w:rFonts w:hint="eastAsia" w:ascii="宋体" w:hAnsi="宋体"/>
                <w:sz w:val="21"/>
                <w:szCs w:val="21"/>
              </w:rPr>
              <w:t>°弧度的显微驱动附件及金刚石钻头，杆长不小于</w:t>
            </w:r>
            <w:r>
              <w:rPr>
                <w:rFonts w:ascii="宋体" w:hAnsi="宋体"/>
                <w:sz w:val="21"/>
                <w:szCs w:val="21"/>
              </w:rPr>
              <w:t>13cm</w:t>
            </w:r>
            <w:r>
              <w:rPr>
                <w:rFonts w:hint="eastAsia" w:ascii="宋体" w:hAnsi="宋体"/>
                <w:sz w:val="21"/>
                <w:szCs w:val="21"/>
              </w:rPr>
              <w:t>，钻头直径不大于</w:t>
            </w:r>
            <w:r>
              <w:rPr>
                <w:rFonts w:ascii="宋体" w:hAnsi="宋体"/>
                <w:sz w:val="21"/>
                <w:szCs w:val="21"/>
              </w:rPr>
              <w:t>3.0mm</w:t>
            </w:r>
            <w:r>
              <w:rPr>
                <w:rFonts w:hint="eastAsia" w:ascii="宋体" w:hAnsi="宋体"/>
                <w:sz w:val="21"/>
                <w:szCs w:val="21"/>
              </w:rPr>
              <w:t>，保证手术视野，方便各种显微手术、经鼻垂体瘤手术等。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226" w:type="dxa"/>
            <w:vAlign w:val="center"/>
          </w:tcPr>
          <w:p>
            <w:pPr>
              <w:spacing w:line="320" w:lineRule="exact"/>
              <w:jc w:val="center"/>
              <w:rPr>
                <w:rFonts w:cs="华文中宋" w:asciiTheme="minorEastAsia" w:hAnsiTheme="minorEastAsia"/>
                <w:b/>
                <w:bCs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钻头</w:t>
            </w:r>
          </w:p>
        </w:tc>
        <w:tc>
          <w:tcPr>
            <w:tcW w:w="7442" w:type="dxa"/>
            <w:gridSpan w:val="2"/>
            <w:vAlign w:val="center"/>
          </w:tcPr>
          <w:p>
            <w:pPr>
              <w:rPr>
                <w:rFonts w:eastAsia="楷体_GB2312"/>
                <w:b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13、</w:t>
            </w:r>
            <w:r>
              <w:rPr>
                <w:rFonts w:hint="eastAsia"/>
                <w:sz w:val="21"/>
                <w:szCs w:val="21"/>
              </w:rPr>
              <w:t>可选择不同型号的钻头不得少于300种</w:t>
            </w:r>
            <w:r>
              <w:rPr>
                <w:rFonts w:hint="eastAsia" w:ascii="宋体" w:hAnsi="宋体"/>
                <w:sz w:val="21"/>
                <w:szCs w:val="21"/>
              </w:rPr>
              <w:t>，</w:t>
            </w:r>
            <w:r>
              <w:rPr>
                <w:rFonts w:hint="eastAsia"/>
                <w:sz w:val="21"/>
                <w:szCs w:val="21"/>
              </w:rPr>
              <w:t>钻头具有神经保护功能，具有止血功能；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jc w:val="center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 w:val="21"/>
                <w:szCs w:val="21"/>
              </w:rPr>
              <w:t>售后服务需求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1、设备到场，工程师现场安装调试后，并</w:t>
            </w:r>
            <w:r>
              <w:rPr>
                <w:rFonts w:hint="eastAsia"/>
                <w:sz w:val="21"/>
                <w:szCs w:val="21"/>
              </w:rPr>
              <w:t>为本院医生免费提供专业的、在标本上的实际操作技巧培训（8小时）；为手术室人员（ORP）和护士免费提供清洁和保养等操作练习培训；提供备用机及备品备件。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2、自购买之日起，产品主机保修≥贰年。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3、</w:t>
            </w:r>
            <w:r>
              <w:rPr>
                <w:rFonts w:hint="eastAsia" w:cs="Arial" w:asciiTheme="minorEastAsia" w:hAnsiTheme="minorEastAsia"/>
                <w:color w:val="000000"/>
                <w:kern w:val="0"/>
                <w:sz w:val="21"/>
                <w:szCs w:val="21"/>
              </w:rPr>
              <w:t>售后人员定期巡回，进行设备的维护及保养，每季度至少一次。</w:t>
            </w:r>
          </w:p>
          <w:p>
            <w:pPr>
              <w:widowControl/>
              <w:spacing w:line="320" w:lineRule="exact"/>
              <w:jc w:val="left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4、产品实行终身维修服务，运行中的设备出现故障，在4小时内作出快速响应。</w:t>
            </w:r>
          </w:p>
          <w:p>
            <w:pPr>
              <w:tabs>
                <w:tab w:val="left" w:pos="3135"/>
              </w:tabs>
              <w:spacing w:line="360" w:lineRule="auto"/>
              <w:rPr>
                <w:rFonts w:cs="Arial" w:asciiTheme="minorEastAsia" w:hAnsiTheme="minorEastAsia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cs="华文中宋" w:asciiTheme="minorEastAsia" w:hAnsiTheme="minorEastAsia"/>
                <w:b/>
                <w:bCs/>
                <w:szCs w:val="28"/>
              </w:rPr>
            </w:pPr>
            <w:r>
              <w:rPr>
                <w:rFonts w:hint="eastAsia" w:cs="华文中宋" w:asciiTheme="minorEastAsia" w:hAnsiTheme="minorEastAsia"/>
                <w:b/>
                <w:bCs/>
                <w:szCs w:val="28"/>
              </w:rPr>
              <w:t>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综合手术动力系统主机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高速电动马达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多功能脚踏开关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马达线缆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自停开颅驱动附件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可旋转驱动附件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直行驱动附件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显微驱动附件及一体化钻头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7467" w:type="dxa"/>
            <w:gridSpan w:val="2"/>
            <w:vAlign w:val="center"/>
          </w:tcPr>
          <w:p>
            <w:pPr>
              <w:spacing w:line="300" w:lineRule="auto"/>
              <w:jc w:val="center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与驱动附件上适应的各种钻头</w:t>
            </w:r>
          </w:p>
        </w:tc>
        <w:tc>
          <w:tcPr>
            <w:tcW w:w="2201" w:type="dxa"/>
            <w:vAlign w:val="center"/>
          </w:tcPr>
          <w:p>
            <w:pPr>
              <w:spacing w:line="30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  <w:jc w:val="center"/>
        </w:trPr>
        <w:tc>
          <w:tcPr>
            <w:tcW w:w="9668" w:type="dxa"/>
            <w:gridSpan w:val="3"/>
            <w:vAlign w:val="center"/>
          </w:tcPr>
          <w:p>
            <w:pPr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 xml:space="preserve">备注： 1、带“★”符号项目为必须满足指标，若出现一项负偏离，则视为废标 ，需逐条说明制定理由 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2、带“▲”符号项目为重要指标</w:t>
            </w:r>
          </w:p>
          <w:p>
            <w:pPr>
              <w:ind w:firstLine="843" w:firstLineChars="350"/>
              <w:rPr>
                <w:rFonts w:ascii="仿宋" w:hAnsi="仿宋" w:eastAsia="仿宋" w:cs="仿宋"/>
                <w:b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3、其他项目为一般指标</w:t>
            </w:r>
          </w:p>
          <w:p>
            <w:pPr>
              <w:ind w:firstLine="843" w:firstLineChars="350"/>
              <w:rPr>
                <w:rFonts w:ascii="楷体_GB2312" w:hAnsi="宋体" w:eastAsia="楷体_GB2312"/>
                <w:b/>
                <w:sz w:val="36"/>
                <w:szCs w:val="36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4、原则上招标需求不超过15条。其中，带“★”符号不超过2条，带“▲”符号不超过3条</w:t>
            </w:r>
          </w:p>
        </w:tc>
      </w:tr>
    </w:tbl>
    <w:p>
      <w:pPr>
        <w:spacing w:line="300" w:lineRule="auto"/>
        <w:rPr>
          <w:rFonts w:ascii="楷体_GB2312" w:hAnsi="宋体" w:eastAsia="楷体_GB2312"/>
          <w:b/>
          <w:szCs w:val="28"/>
        </w:rPr>
      </w:pPr>
      <w:r>
        <w:rPr>
          <w:rFonts w:hint="eastAsia" w:ascii="楷体_GB2312" w:hAnsi="宋体" w:eastAsia="楷体_GB2312"/>
          <w:b/>
          <w:szCs w:val="28"/>
        </w:rPr>
        <w:t xml:space="preserve">     </w:t>
      </w:r>
      <w:r>
        <w:rPr>
          <w:rFonts w:hint="eastAsia" w:ascii="华文中宋" w:hAnsi="华文中宋" w:eastAsia="华文中宋" w:cs="华文中宋"/>
          <w:bCs/>
          <w:sz w:val="30"/>
          <w:szCs w:val="30"/>
        </w:rPr>
        <w:t xml:space="preserve"> </w:t>
      </w:r>
      <w:r>
        <w:rPr>
          <w:rFonts w:hint="eastAsia" w:ascii="楷体_GB2312" w:hAnsi="宋体" w:eastAsia="楷体_GB2312"/>
          <w:b/>
          <w:szCs w:val="28"/>
        </w:rPr>
        <w:t>科室主任：                                科室代表：</w:t>
      </w:r>
    </w:p>
    <w:p>
      <w:pPr>
        <w:ind w:firstLine="7027" w:firstLineChars="2500"/>
        <w:rPr>
          <w:b/>
        </w:rPr>
      </w:pPr>
      <w:r>
        <w:rPr>
          <w:rFonts w:hint="eastAsia"/>
          <w:b/>
        </w:rPr>
        <w:t>年    月    日</w:t>
      </w:r>
    </w:p>
    <w:sectPr>
      <w:pgSz w:w="11906" w:h="16838"/>
      <w:pgMar w:top="873" w:right="1077" w:bottom="873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5F72"/>
    <w:rsid w:val="0000748D"/>
    <w:rsid w:val="00026C2F"/>
    <w:rsid w:val="00033DC9"/>
    <w:rsid w:val="0003575C"/>
    <w:rsid w:val="00041A2E"/>
    <w:rsid w:val="000428D8"/>
    <w:rsid w:val="000F7A17"/>
    <w:rsid w:val="00115EEC"/>
    <w:rsid w:val="00122041"/>
    <w:rsid w:val="00162540"/>
    <w:rsid w:val="001C3E92"/>
    <w:rsid w:val="00236AE6"/>
    <w:rsid w:val="0032255F"/>
    <w:rsid w:val="00341BF3"/>
    <w:rsid w:val="00362DBD"/>
    <w:rsid w:val="003673E6"/>
    <w:rsid w:val="00371340"/>
    <w:rsid w:val="003777B5"/>
    <w:rsid w:val="003C5A9B"/>
    <w:rsid w:val="003F49AB"/>
    <w:rsid w:val="00407ECE"/>
    <w:rsid w:val="004361E1"/>
    <w:rsid w:val="0046001F"/>
    <w:rsid w:val="0046625D"/>
    <w:rsid w:val="004B2C8F"/>
    <w:rsid w:val="004D0330"/>
    <w:rsid w:val="004F43DD"/>
    <w:rsid w:val="00536AD8"/>
    <w:rsid w:val="00550E51"/>
    <w:rsid w:val="00572487"/>
    <w:rsid w:val="00572F07"/>
    <w:rsid w:val="005B4A10"/>
    <w:rsid w:val="005D0783"/>
    <w:rsid w:val="00607BE9"/>
    <w:rsid w:val="00607E7A"/>
    <w:rsid w:val="00680677"/>
    <w:rsid w:val="0069771B"/>
    <w:rsid w:val="006B2EBE"/>
    <w:rsid w:val="006F7612"/>
    <w:rsid w:val="0074775B"/>
    <w:rsid w:val="0076253C"/>
    <w:rsid w:val="00783D50"/>
    <w:rsid w:val="00792A95"/>
    <w:rsid w:val="007C529C"/>
    <w:rsid w:val="007F0031"/>
    <w:rsid w:val="00835F7A"/>
    <w:rsid w:val="00923802"/>
    <w:rsid w:val="0092630C"/>
    <w:rsid w:val="009335AA"/>
    <w:rsid w:val="009919FF"/>
    <w:rsid w:val="009D329A"/>
    <w:rsid w:val="00A204D2"/>
    <w:rsid w:val="00A2088D"/>
    <w:rsid w:val="00B42C13"/>
    <w:rsid w:val="00B70DDC"/>
    <w:rsid w:val="00BB0600"/>
    <w:rsid w:val="00C67A83"/>
    <w:rsid w:val="00C81F2D"/>
    <w:rsid w:val="00CA6C8F"/>
    <w:rsid w:val="00CD006F"/>
    <w:rsid w:val="00D2075D"/>
    <w:rsid w:val="00D43109"/>
    <w:rsid w:val="00D47CFF"/>
    <w:rsid w:val="00D66D96"/>
    <w:rsid w:val="00DB5A72"/>
    <w:rsid w:val="00DB6087"/>
    <w:rsid w:val="00E004DA"/>
    <w:rsid w:val="00E16B86"/>
    <w:rsid w:val="00E16B8C"/>
    <w:rsid w:val="00E21945"/>
    <w:rsid w:val="00E856F9"/>
    <w:rsid w:val="00EC6FF0"/>
    <w:rsid w:val="00EC754D"/>
    <w:rsid w:val="00F76BAE"/>
    <w:rsid w:val="00F907E6"/>
    <w:rsid w:val="020B5E6E"/>
    <w:rsid w:val="07517E2E"/>
    <w:rsid w:val="080B363C"/>
    <w:rsid w:val="09064409"/>
    <w:rsid w:val="104B1AB9"/>
    <w:rsid w:val="246906D5"/>
    <w:rsid w:val="25F433C6"/>
    <w:rsid w:val="26005ABD"/>
    <w:rsid w:val="2C1D1B69"/>
    <w:rsid w:val="2D9F7D6A"/>
    <w:rsid w:val="2E110A97"/>
    <w:rsid w:val="2FDA5D78"/>
    <w:rsid w:val="360F782A"/>
    <w:rsid w:val="3644459F"/>
    <w:rsid w:val="38175CE8"/>
    <w:rsid w:val="3D0E6134"/>
    <w:rsid w:val="43D00E62"/>
    <w:rsid w:val="459F175D"/>
    <w:rsid w:val="46662F6D"/>
    <w:rsid w:val="51F95F72"/>
    <w:rsid w:val="53E17CCB"/>
    <w:rsid w:val="55EF1326"/>
    <w:rsid w:val="57DE293D"/>
    <w:rsid w:val="592D2F57"/>
    <w:rsid w:val="5CC9380F"/>
    <w:rsid w:val="62825CCB"/>
    <w:rsid w:val="66880C40"/>
    <w:rsid w:val="76E36F16"/>
    <w:rsid w:val="7DDE2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8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2">
    <w:name w:val="批注框文本 Char"/>
    <w:basedOn w:val="7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238</Words>
  <Characters>1357</Characters>
  <Lines>11</Lines>
  <Paragraphs>3</Paragraphs>
  <TotalTime>40</TotalTime>
  <ScaleCrop>false</ScaleCrop>
  <LinksUpToDate>false</LinksUpToDate>
  <CharactersWithSpaces>1592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2019-03-28T00:47:00Z</dcterms:created>
  <dc:creator>Administrator</dc:creator>
  <cp:lastModifiedBy>cgzx</cp:lastModifiedBy>
  <cp:lastPrinted>2019-03-28T01:28:00Z</cp:lastPrinted>
  <dcterms:modified xsi:type="dcterms:W3CDTF">2019-04-01T06:42:15Z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