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8F" w:rsidRDefault="00D6449B" w:rsidP="009558A4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检验科“全自动血沉分析仪”招标需求表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454F8F">
        <w:trPr>
          <w:trHeight w:val="464"/>
          <w:jc w:val="center"/>
        </w:trPr>
        <w:tc>
          <w:tcPr>
            <w:tcW w:w="2360" w:type="dxa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454F8F" w:rsidRDefault="00D6449B" w:rsidP="006E1798">
            <w:pPr>
              <w:spacing w:line="320" w:lineRule="exact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 w:rsidRPr="006E1798">
              <w:rPr>
                <w:rFonts w:asciiTheme="minorEastAsia" w:hAnsiTheme="minorEastAsia" w:hint="eastAsia"/>
                <w:sz w:val="24"/>
                <w:szCs w:val="24"/>
              </w:rPr>
              <w:t>检测红细胞沉降的变化过程</w:t>
            </w:r>
          </w:p>
        </w:tc>
      </w:tr>
      <w:tr w:rsidR="00454F8F">
        <w:trPr>
          <w:trHeight w:val="464"/>
          <w:jc w:val="center"/>
        </w:trPr>
        <w:tc>
          <w:tcPr>
            <w:tcW w:w="2360" w:type="dxa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454F8F" w:rsidRDefault="00843EB6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检验科</w:t>
            </w:r>
          </w:p>
        </w:tc>
      </w:tr>
      <w:tr w:rsidR="00454F8F">
        <w:trPr>
          <w:trHeight w:val="464"/>
          <w:jc w:val="center"/>
        </w:trPr>
        <w:tc>
          <w:tcPr>
            <w:tcW w:w="2360" w:type="dxa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454F8F" w:rsidRDefault="00D6449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使用环境无特殊要求</w:t>
            </w:r>
          </w:p>
        </w:tc>
      </w:tr>
      <w:tr w:rsidR="00454F8F" w:rsidTr="006E1798">
        <w:trPr>
          <w:trHeight w:val="425"/>
          <w:jc w:val="center"/>
        </w:trPr>
        <w:tc>
          <w:tcPr>
            <w:tcW w:w="9668" w:type="dxa"/>
            <w:gridSpan w:val="3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454F8F">
        <w:trPr>
          <w:trHeight w:val="449"/>
          <w:jc w:val="center"/>
        </w:trPr>
        <w:tc>
          <w:tcPr>
            <w:tcW w:w="2360" w:type="dxa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 w:val="restart"/>
            <w:vAlign w:val="center"/>
          </w:tcPr>
          <w:p w:rsidR="00F01F91" w:rsidRDefault="00F01F91">
            <w:pPr>
              <w:widowControl/>
              <w:spacing w:line="320" w:lineRule="exact"/>
              <w:jc w:val="center"/>
            </w:pPr>
            <w:r>
              <w:rPr>
                <w:rFonts w:hint="eastAsia"/>
              </w:rPr>
              <w:t>全自动血沉分析仪</w:t>
            </w: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F01F91" w:rsidP="008F1EA8">
            <w:pPr>
              <w:spacing w:line="30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C486C">
              <w:rPr>
                <w:rFonts w:hint="eastAsia"/>
                <w:sz w:val="24"/>
              </w:rPr>
              <w:t>1.</w:t>
            </w:r>
            <w:r w:rsidRPr="001C486C">
              <w:rPr>
                <w:rFonts w:ascii="宋体" w:hAnsi="宋体" w:hint="eastAsia"/>
                <w:sz w:val="18"/>
                <w:szCs w:val="18"/>
              </w:rPr>
              <w:t xml:space="preserve"> ★</w:t>
            </w:r>
            <w:r w:rsidRPr="001C486C">
              <w:rPr>
                <w:rFonts w:hint="eastAsia"/>
                <w:sz w:val="24"/>
              </w:rPr>
              <w:t>操作模式：全自动检测</w:t>
            </w:r>
            <w:r w:rsidR="008F1EA8">
              <w:rPr>
                <w:rFonts w:hint="eastAsia"/>
                <w:sz w:val="24"/>
              </w:rPr>
              <w:t>（</w:t>
            </w:r>
            <w:r w:rsidR="008F1EA8" w:rsidRPr="008F1EA8">
              <w:rPr>
                <w:rFonts w:hint="eastAsia"/>
                <w:b/>
                <w:sz w:val="24"/>
              </w:rPr>
              <w:t>说明：</w:t>
            </w:r>
            <w:r w:rsidR="008F1EA8" w:rsidRPr="008F1EA8">
              <w:rPr>
                <w:rFonts w:hint="eastAsia"/>
                <w:sz w:val="24"/>
              </w:rPr>
              <w:t>全自动模式能很大程度节约操作时间，缩短</w:t>
            </w:r>
            <w:r w:rsidR="008F1EA8" w:rsidRPr="008F1EA8">
              <w:rPr>
                <w:rFonts w:hint="eastAsia"/>
                <w:sz w:val="24"/>
              </w:rPr>
              <w:t>TAT</w:t>
            </w:r>
            <w:r w:rsidR="008F1EA8" w:rsidRPr="008F1EA8">
              <w:rPr>
                <w:rFonts w:hint="eastAsia"/>
                <w:sz w:val="24"/>
              </w:rPr>
              <w:t>提高工作效率。</w:t>
            </w:r>
            <w:r w:rsidR="008F1EA8">
              <w:rPr>
                <w:rFonts w:hint="eastAsia"/>
                <w:sz w:val="24"/>
              </w:rPr>
              <w:t>）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F01F91" w:rsidP="00B517F0">
            <w:pPr>
              <w:spacing w:line="30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C486C">
              <w:rPr>
                <w:rFonts w:hint="eastAsia"/>
                <w:sz w:val="24"/>
              </w:rPr>
              <w:t>2.</w:t>
            </w:r>
            <w:r w:rsidR="00B517F0">
              <w:rPr>
                <w:rFonts w:hint="eastAsia"/>
              </w:rPr>
              <w:t xml:space="preserve"> </w:t>
            </w:r>
            <w:r w:rsidR="00B517F0" w:rsidRPr="00B517F0">
              <w:rPr>
                <w:rFonts w:hint="eastAsia"/>
                <w:sz w:val="24"/>
              </w:rPr>
              <w:t>▲</w:t>
            </w:r>
            <w:r w:rsidRPr="001C486C">
              <w:rPr>
                <w:rFonts w:hint="eastAsia"/>
                <w:sz w:val="24"/>
              </w:rPr>
              <w:t>检测时间：</w:t>
            </w:r>
            <w:r w:rsidRPr="001C486C">
              <w:rPr>
                <w:rFonts w:ascii="Arial" w:hAnsi="Arial" w:cs="Arial"/>
                <w:sz w:val="24"/>
              </w:rPr>
              <w:t>≤</w:t>
            </w:r>
            <w:r w:rsidRPr="001C486C">
              <w:rPr>
                <w:rFonts w:hint="eastAsia"/>
                <w:sz w:val="24"/>
              </w:rPr>
              <w:t>20</w:t>
            </w:r>
            <w:r w:rsidRPr="001C486C">
              <w:rPr>
                <w:rFonts w:hint="eastAsia"/>
                <w:sz w:val="24"/>
              </w:rPr>
              <w:t>分钟</w:t>
            </w:r>
            <w:r w:rsidR="00B517F0">
              <w:rPr>
                <w:rFonts w:hint="eastAsia"/>
                <w:sz w:val="24"/>
              </w:rPr>
              <w:t>,</w:t>
            </w:r>
            <w:r w:rsidR="00B517F0" w:rsidRPr="001C486C">
              <w:rPr>
                <w:rFonts w:hint="eastAsia"/>
                <w:sz w:val="24"/>
              </w:rPr>
              <w:t>分析速度：</w:t>
            </w:r>
            <w:r w:rsidR="00B517F0" w:rsidRPr="001C486C">
              <w:rPr>
                <w:rFonts w:ascii="Arial" w:hAnsi="Arial" w:cs="Arial"/>
                <w:sz w:val="24"/>
              </w:rPr>
              <w:t>≥</w:t>
            </w:r>
            <w:r w:rsidR="00B517F0" w:rsidRPr="001C486C">
              <w:rPr>
                <w:rFonts w:ascii="Arial" w:hAnsi="Arial" w:cs="Arial" w:hint="eastAsia"/>
                <w:sz w:val="24"/>
              </w:rPr>
              <w:t>90</w:t>
            </w:r>
            <w:r w:rsidR="00B517F0" w:rsidRPr="001C486C">
              <w:rPr>
                <w:rFonts w:hint="eastAsia"/>
                <w:sz w:val="24"/>
              </w:rPr>
              <w:t>T/h</w:t>
            </w:r>
          </w:p>
        </w:tc>
      </w:tr>
      <w:tr w:rsidR="00F01F91" w:rsidTr="006E1798">
        <w:trPr>
          <w:trHeight w:val="1069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8F1EA8" w:rsidRDefault="00F01F91" w:rsidP="007909FB">
            <w:pPr>
              <w:spacing w:line="30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C486C">
              <w:rPr>
                <w:rFonts w:hint="eastAsia"/>
                <w:sz w:val="24"/>
              </w:rPr>
              <w:t>3.</w:t>
            </w:r>
            <w:r w:rsidRPr="001C486C">
              <w:rPr>
                <w:rFonts w:ascii="宋体" w:hAnsi="宋体" w:hint="eastAsia"/>
                <w:sz w:val="18"/>
                <w:szCs w:val="18"/>
              </w:rPr>
              <w:t xml:space="preserve"> ★</w:t>
            </w:r>
            <w:r w:rsidR="00B517F0" w:rsidRPr="001C486C">
              <w:rPr>
                <w:rFonts w:hint="eastAsia"/>
                <w:sz w:val="24"/>
              </w:rPr>
              <w:t>检测位：</w:t>
            </w:r>
            <w:r w:rsidR="00B517F0" w:rsidRPr="001C486C">
              <w:rPr>
                <w:rFonts w:ascii="Arial" w:hAnsi="Arial" w:cs="Arial" w:hint="eastAsia"/>
                <w:sz w:val="24"/>
              </w:rPr>
              <w:t>&gt;</w:t>
            </w:r>
            <w:r w:rsidR="00B517F0" w:rsidRPr="001C486C">
              <w:rPr>
                <w:rFonts w:hint="eastAsia"/>
                <w:sz w:val="24"/>
              </w:rPr>
              <w:t>30</w:t>
            </w:r>
            <w:r w:rsidR="00B517F0" w:rsidRPr="001C486C">
              <w:rPr>
                <w:rFonts w:hint="eastAsia"/>
                <w:sz w:val="24"/>
              </w:rPr>
              <w:t>个及以上</w:t>
            </w:r>
            <w:r w:rsidR="00B517F0">
              <w:rPr>
                <w:rFonts w:hint="eastAsia"/>
                <w:sz w:val="24"/>
              </w:rPr>
              <w:t>,</w:t>
            </w:r>
            <w:r w:rsidRPr="001C486C">
              <w:rPr>
                <w:rFonts w:hint="eastAsia"/>
                <w:sz w:val="24"/>
              </w:rPr>
              <w:t>检测管：</w:t>
            </w:r>
            <w:r w:rsidRPr="001C486C">
              <w:rPr>
                <w:rFonts w:hint="eastAsia"/>
                <w:sz w:val="24"/>
              </w:rPr>
              <w:t>EDTA</w:t>
            </w:r>
            <w:r w:rsidRPr="001C486C">
              <w:rPr>
                <w:rFonts w:hint="eastAsia"/>
                <w:sz w:val="24"/>
              </w:rPr>
              <w:t>采血管均适用</w:t>
            </w:r>
            <w:r w:rsidR="008F1EA8">
              <w:rPr>
                <w:rFonts w:hint="eastAsia"/>
                <w:sz w:val="24"/>
              </w:rPr>
              <w:t>（</w:t>
            </w:r>
            <w:r w:rsidR="008F1EA8" w:rsidRPr="008F1EA8">
              <w:rPr>
                <w:rFonts w:hint="eastAsia"/>
                <w:b/>
                <w:sz w:val="24"/>
              </w:rPr>
              <w:t>说明：</w:t>
            </w:r>
            <w:r w:rsidR="008F1EA8" w:rsidRPr="007909FB">
              <w:rPr>
                <w:rFonts w:hint="eastAsia"/>
                <w:sz w:val="24"/>
              </w:rPr>
              <w:t>较大检测位能够减少标本等待检测的时间</w:t>
            </w:r>
            <w:r w:rsidR="007909FB">
              <w:rPr>
                <w:rFonts w:hint="eastAsia"/>
                <w:sz w:val="24"/>
              </w:rPr>
              <w:t>，</w:t>
            </w:r>
            <w:r w:rsidR="007909FB" w:rsidRPr="001C486C">
              <w:rPr>
                <w:rFonts w:hint="eastAsia"/>
                <w:sz w:val="24"/>
              </w:rPr>
              <w:t>EDTA</w:t>
            </w:r>
            <w:r w:rsidR="007909FB" w:rsidRPr="001C486C">
              <w:rPr>
                <w:rFonts w:hint="eastAsia"/>
                <w:sz w:val="24"/>
              </w:rPr>
              <w:t>采血管</w:t>
            </w:r>
            <w:r w:rsidR="007909FB">
              <w:rPr>
                <w:rFonts w:hint="eastAsia"/>
                <w:sz w:val="24"/>
              </w:rPr>
              <w:t>可使患者少抽采血管</w:t>
            </w:r>
            <w:r w:rsidR="00CE0904">
              <w:rPr>
                <w:rFonts w:hint="eastAsia"/>
                <w:sz w:val="24"/>
              </w:rPr>
              <w:t>，且可</w:t>
            </w:r>
            <w:r w:rsidR="000F59E1">
              <w:rPr>
                <w:rFonts w:hint="eastAsia"/>
                <w:sz w:val="24"/>
              </w:rPr>
              <w:t>节省</w:t>
            </w:r>
            <w:r w:rsidR="00CE0904">
              <w:rPr>
                <w:rFonts w:hint="eastAsia"/>
                <w:sz w:val="24"/>
              </w:rPr>
              <w:t>部分</w:t>
            </w:r>
            <w:r w:rsidR="000F59E1">
              <w:rPr>
                <w:rFonts w:hint="eastAsia"/>
                <w:sz w:val="24"/>
              </w:rPr>
              <w:t>费用</w:t>
            </w:r>
            <w:r w:rsidR="007909FB">
              <w:rPr>
                <w:rFonts w:hint="eastAsia"/>
                <w:sz w:val="24"/>
              </w:rPr>
              <w:t>）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>
            <w:pPr>
              <w:spacing w:line="300" w:lineRule="auto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.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检测范围：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1-140mm/h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>
            <w:pPr>
              <w:spacing w:line="30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6</w:t>
            </w:r>
            <w:r w:rsidR="00F01F91" w:rsidRPr="001C486C">
              <w:rPr>
                <w:rFonts w:hint="eastAsia"/>
                <w:sz w:val="24"/>
              </w:rPr>
              <w:t>.</w:t>
            </w:r>
            <w:r w:rsidR="00F01F91" w:rsidRPr="001C486C">
              <w:rPr>
                <w:rFonts w:hint="eastAsia"/>
                <w:sz w:val="24"/>
              </w:rPr>
              <w:t>样本量</w:t>
            </w:r>
            <w:r w:rsidR="00F01F91" w:rsidRPr="001C486C">
              <w:rPr>
                <w:rFonts w:hint="eastAsia"/>
                <w:sz w:val="24"/>
              </w:rPr>
              <w:t>:1.0ml-3.5ml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 w:rsidP="00B517F0">
            <w:pPr>
              <w:spacing w:line="300" w:lineRule="auto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7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.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样本稀释：无需稀释样本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 w:rsidP="00F01F91">
            <w:pPr>
              <w:spacing w:line="300" w:lineRule="auto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8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.</w:t>
            </w:r>
            <w:r w:rsidR="00F01F91" w:rsidRPr="001C486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▲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检测模式：自动混匀模式和即插即用模式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 w:rsidP="00C81376">
            <w:pPr>
              <w:spacing w:line="300" w:lineRule="auto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9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.</w:t>
            </w:r>
            <w:r w:rsidRPr="001C486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▲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一次性检测上样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&gt;30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个及以上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>
            <w:pPr>
              <w:spacing w:line="300" w:lineRule="auto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10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.</w:t>
            </w:r>
            <w:r w:rsidR="00F01F91" w:rsidRPr="001C486C">
              <w:rPr>
                <w:rFonts w:hint="eastAsia"/>
                <w:color w:val="000000" w:themeColor="text1"/>
                <w:sz w:val="24"/>
              </w:rPr>
              <w:t>样本类型</w:t>
            </w:r>
            <w:bookmarkStart w:id="0" w:name="_GoBack"/>
            <w:bookmarkEnd w:id="0"/>
            <w:r w:rsidR="00F01F91" w:rsidRPr="001C486C">
              <w:rPr>
                <w:rFonts w:hint="eastAsia"/>
                <w:color w:val="000000" w:themeColor="text1"/>
                <w:sz w:val="24"/>
              </w:rPr>
              <w:t>：全血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1C486C" w:rsidRDefault="00B517F0" w:rsidP="00B23C83">
            <w:pPr>
              <w:spacing w:line="300" w:lineRule="auto"/>
              <w:jc w:val="left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 w:rsidR="00F01F91" w:rsidRPr="001C486C">
              <w:rPr>
                <w:rFonts w:hint="eastAsia"/>
                <w:sz w:val="24"/>
              </w:rPr>
              <w:t>.</w:t>
            </w:r>
            <w:r w:rsidR="002D03DF" w:rsidRPr="001C486C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可与医院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HIS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、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LIS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系统进行无缝连接，连接费用由供货商提供</w:t>
            </w:r>
          </w:p>
        </w:tc>
      </w:tr>
      <w:tr w:rsidR="00F01F91">
        <w:trPr>
          <w:trHeight w:val="415"/>
          <w:jc w:val="center"/>
        </w:trPr>
        <w:tc>
          <w:tcPr>
            <w:tcW w:w="2360" w:type="dxa"/>
            <w:vMerge/>
            <w:vAlign w:val="center"/>
          </w:tcPr>
          <w:p w:rsidR="00F01F91" w:rsidRDefault="00F01F91"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01F91" w:rsidRPr="00677805" w:rsidRDefault="00B517F0" w:rsidP="00677805">
            <w:pPr>
              <w:widowControl/>
              <w:jc w:val="left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12</w:t>
            </w:r>
            <w:r w:rsidR="00F01F91" w:rsidRPr="00677805">
              <w:rPr>
                <w:rFonts w:ascii="Calibri" w:eastAsia="宋体" w:hAnsi="Calibri" w:cs="Times New Roman" w:hint="eastAsia"/>
                <w:sz w:val="24"/>
              </w:rPr>
              <w:t>.</w:t>
            </w:r>
            <w:r w:rsidR="002D03DF" w:rsidRPr="00677805">
              <w:rPr>
                <w:rFonts w:ascii="Calibri" w:eastAsia="宋体" w:hAnsi="Calibri" w:cs="Times New Roman" w:hint="eastAsia"/>
                <w:sz w:val="24"/>
              </w:rPr>
              <w:t xml:space="preserve"> </w:t>
            </w:r>
            <w:r w:rsidR="00F01F91" w:rsidRPr="001C486C">
              <w:rPr>
                <w:rFonts w:ascii="Calibri" w:eastAsia="宋体" w:hAnsi="Calibri" w:cs="Times New Roman"/>
                <w:sz w:val="24"/>
              </w:rPr>
              <w:t>售后服务</w:t>
            </w:r>
            <w:r w:rsidR="00F01F91" w:rsidRPr="001C486C">
              <w:rPr>
                <w:rFonts w:ascii="Calibri" w:eastAsia="宋体" w:hAnsi="Calibri" w:cs="Times New Roman" w:hint="eastAsia"/>
                <w:sz w:val="24"/>
              </w:rPr>
              <w:t>：</w:t>
            </w:r>
            <w:r w:rsidR="00677805" w:rsidRPr="00677805">
              <w:rPr>
                <w:rFonts w:ascii="Calibri" w:eastAsia="宋体" w:hAnsi="Calibri" w:cs="Times New Roman"/>
                <w:sz w:val="24"/>
              </w:rPr>
              <w:t>供应商提供完善配套售后服务</w:t>
            </w:r>
          </w:p>
        </w:tc>
      </w:tr>
      <w:tr w:rsidR="00454F8F">
        <w:trPr>
          <w:trHeight w:val="464"/>
          <w:jc w:val="center"/>
        </w:trPr>
        <w:tc>
          <w:tcPr>
            <w:tcW w:w="7467" w:type="dxa"/>
            <w:gridSpan w:val="2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454F8F" w:rsidRDefault="00D6449B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E1089" w:rsidTr="006E1798">
        <w:trPr>
          <w:trHeight w:val="520"/>
          <w:jc w:val="center"/>
        </w:trPr>
        <w:tc>
          <w:tcPr>
            <w:tcW w:w="7467" w:type="dxa"/>
            <w:gridSpan w:val="2"/>
            <w:vAlign w:val="center"/>
          </w:tcPr>
          <w:p w:rsidR="005E1089" w:rsidRPr="001C486C" w:rsidRDefault="005E1089" w:rsidP="00961D76">
            <w:pPr>
              <w:spacing w:line="300" w:lineRule="auto"/>
              <w:jc w:val="center"/>
              <w:rPr>
                <w:sz w:val="24"/>
              </w:rPr>
            </w:pPr>
            <w:r w:rsidRPr="001C486C">
              <w:rPr>
                <w:rFonts w:hint="eastAsia"/>
                <w:sz w:val="24"/>
              </w:rPr>
              <w:t>全自动血沉分析仪</w:t>
            </w:r>
          </w:p>
        </w:tc>
        <w:tc>
          <w:tcPr>
            <w:tcW w:w="2201" w:type="dxa"/>
            <w:vAlign w:val="center"/>
          </w:tcPr>
          <w:p w:rsidR="005E1089" w:rsidRDefault="005E1089" w:rsidP="00961D76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3台</w:t>
            </w:r>
          </w:p>
        </w:tc>
      </w:tr>
      <w:tr w:rsidR="00454F8F" w:rsidTr="006E1798">
        <w:trPr>
          <w:trHeight w:val="1592"/>
          <w:jc w:val="center"/>
        </w:trPr>
        <w:tc>
          <w:tcPr>
            <w:tcW w:w="9668" w:type="dxa"/>
            <w:gridSpan w:val="3"/>
            <w:vAlign w:val="center"/>
          </w:tcPr>
          <w:p w:rsidR="002F47E8" w:rsidRPr="002F47E8" w:rsidRDefault="002F47E8" w:rsidP="002F47E8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F47E8"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 w:rsidR="002F47E8" w:rsidRPr="002F47E8" w:rsidRDefault="002F47E8" w:rsidP="002F47E8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F47E8"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</w:t>
            </w:r>
          </w:p>
          <w:p w:rsidR="002F47E8" w:rsidRPr="002F47E8" w:rsidRDefault="002F47E8" w:rsidP="002F47E8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F47E8"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</w:t>
            </w:r>
          </w:p>
          <w:p w:rsidR="00454F8F" w:rsidRDefault="002F47E8" w:rsidP="002F47E8">
            <w:pPr>
              <w:ind w:firstLineChars="350" w:firstLine="843"/>
              <w:rPr>
                <w:rFonts w:ascii="楷体_GB2312" w:eastAsia="楷体_GB2312" w:hAnsi="宋体"/>
                <w:b/>
                <w:color w:val="FF0000"/>
                <w:sz w:val="36"/>
                <w:szCs w:val="36"/>
              </w:rPr>
            </w:pPr>
            <w:r w:rsidRPr="002F47E8">
              <w:rPr>
                <w:rFonts w:ascii="仿宋" w:eastAsia="仿宋" w:hAnsi="仿宋" w:cs="仿宋" w:hint="eastAsia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:rsidR="00454F8F" w:rsidRPr="006E1798" w:rsidRDefault="00FE7493" w:rsidP="006E1798">
      <w:pPr>
        <w:spacing w:line="300" w:lineRule="auto"/>
        <w:ind w:firstLineChars="100" w:firstLine="280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</w:t>
      </w:r>
      <w:r w:rsidR="006E1798">
        <w:rPr>
          <w:rFonts w:ascii="楷体_GB2312" w:eastAsia="楷体_GB2312" w:hAnsi="宋体" w:hint="eastAsia"/>
          <w:b/>
          <w:szCs w:val="28"/>
        </w:rPr>
        <w:t xml:space="preserve"> </w:t>
      </w:r>
      <w:r>
        <w:rPr>
          <w:rFonts w:ascii="楷体_GB2312" w:eastAsia="楷体_GB2312" w:hAnsi="宋体" w:hint="eastAsia"/>
          <w:b/>
          <w:szCs w:val="28"/>
        </w:rPr>
        <w:t>科室主任：                              科室代表：</w:t>
      </w:r>
    </w:p>
    <w:sectPr w:rsidR="00454F8F" w:rsidRPr="006E1798" w:rsidSect="00454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8F" w:rsidRDefault="00454F8F" w:rsidP="00454F8F">
      <w:r>
        <w:separator/>
      </w:r>
    </w:p>
  </w:endnote>
  <w:endnote w:type="continuationSeparator" w:id="0">
    <w:p w:rsidR="00454F8F" w:rsidRDefault="00454F8F" w:rsidP="00454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90" w:rsidRDefault="00F36F9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90" w:rsidRDefault="00F36F9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90" w:rsidRDefault="00F36F9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8F" w:rsidRDefault="00454F8F" w:rsidP="00454F8F">
      <w:r>
        <w:separator/>
      </w:r>
    </w:p>
  </w:footnote>
  <w:footnote w:type="continuationSeparator" w:id="0">
    <w:p w:rsidR="00454F8F" w:rsidRDefault="00454F8F" w:rsidP="00454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90" w:rsidRDefault="00F36F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8F" w:rsidRDefault="00454F8F" w:rsidP="00F36F9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90" w:rsidRDefault="00F36F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45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A4A2E"/>
    <w:rsid w:val="000E2939"/>
    <w:rsid w:val="000F59E1"/>
    <w:rsid w:val="00115EEC"/>
    <w:rsid w:val="00122041"/>
    <w:rsid w:val="0014353D"/>
    <w:rsid w:val="00162540"/>
    <w:rsid w:val="001C3E92"/>
    <w:rsid w:val="001C486C"/>
    <w:rsid w:val="00236AE6"/>
    <w:rsid w:val="00270924"/>
    <w:rsid w:val="002B647C"/>
    <w:rsid w:val="002D03DF"/>
    <w:rsid w:val="002F47E8"/>
    <w:rsid w:val="00371340"/>
    <w:rsid w:val="00454F8F"/>
    <w:rsid w:val="0046625D"/>
    <w:rsid w:val="004E3C72"/>
    <w:rsid w:val="0053503C"/>
    <w:rsid w:val="00572F07"/>
    <w:rsid w:val="005D0783"/>
    <w:rsid w:val="005E1089"/>
    <w:rsid w:val="006045B5"/>
    <w:rsid w:val="00607BE9"/>
    <w:rsid w:val="0062521A"/>
    <w:rsid w:val="0062724B"/>
    <w:rsid w:val="00674002"/>
    <w:rsid w:val="00677805"/>
    <w:rsid w:val="006B2EBE"/>
    <w:rsid w:val="006B44E0"/>
    <w:rsid w:val="006E1798"/>
    <w:rsid w:val="00703DEF"/>
    <w:rsid w:val="0076253C"/>
    <w:rsid w:val="00783D50"/>
    <w:rsid w:val="00785D46"/>
    <w:rsid w:val="007909FB"/>
    <w:rsid w:val="00792A95"/>
    <w:rsid w:val="007C7759"/>
    <w:rsid w:val="007F0031"/>
    <w:rsid w:val="008043DD"/>
    <w:rsid w:val="00843EB6"/>
    <w:rsid w:val="0087564F"/>
    <w:rsid w:val="00886A53"/>
    <w:rsid w:val="008B08FF"/>
    <w:rsid w:val="008C603D"/>
    <w:rsid w:val="008F1EA8"/>
    <w:rsid w:val="008F7CBE"/>
    <w:rsid w:val="00923802"/>
    <w:rsid w:val="009335AA"/>
    <w:rsid w:val="009558A4"/>
    <w:rsid w:val="00961D76"/>
    <w:rsid w:val="00967479"/>
    <w:rsid w:val="009E79A2"/>
    <w:rsid w:val="00A56AE0"/>
    <w:rsid w:val="00A57BE1"/>
    <w:rsid w:val="00B06ABD"/>
    <w:rsid w:val="00B517F0"/>
    <w:rsid w:val="00BD3293"/>
    <w:rsid w:val="00BF0F5E"/>
    <w:rsid w:val="00C311F8"/>
    <w:rsid w:val="00C64B30"/>
    <w:rsid w:val="00C81376"/>
    <w:rsid w:val="00C8194A"/>
    <w:rsid w:val="00C90F90"/>
    <w:rsid w:val="00CA25FB"/>
    <w:rsid w:val="00CA7907"/>
    <w:rsid w:val="00CB738E"/>
    <w:rsid w:val="00CD006F"/>
    <w:rsid w:val="00CE0904"/>
    <w:rsid w:val="00D34E3C"/>
    <w:rsid w:val="00D47CFF"/>
    <w:rsid w:val="00D6449B"/>
    <w:rsid w:val="00D770A5"/>
    <w:rsid w:val="00D9302F"/>
    <w:rsid w:val="00DA3DF8"/>
    <w:rsid w:val="00DA4E4A"/>
    <w:rsid w:val="00E16B86"/>
    <w:rsid w:val="00E16B8C"/>
    <w:rsid w:val="00E213E7"/>
    <w:rsid w:val="00E27E6F"/>
    <w:rsid w:val="00F01F91"/>
    <w:rsid w:val="00F36F90"/>
    <w:rsid w:val="00FE7493"/>
    <w:rsid w:val="02490133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103CB9"/>
    <w:rsid w:val="46662F6D"/>
    <w:rsid w:val="4A0532D7"/>
    <w:rsid w:val="51F95F72"/>
    <w:rsid w:val="53E17CCB"/>
    <w:rsid w:val="55EF1326"/>
    <w:rsid w:val="57DE293D"/>
    <w:rsid w:val="592D2F57"/>
    <w:rsid w:val="62825CCB"/>
    <w:rsid w:val="66880C40"/>
    <w:rsid w:val="6BA17AC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8F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54F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454F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54F8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454F8F"/>
    <w:rPr>
      <w:b/>
    </w:rPr>
  </w:style>
  <w:style w:type="character" w:customStyle="1" w:styleId="Char0">
    <w:name w:val="页眉 Char"/>
    <w:basedOn w:val="a0"/>
    <w:link w:val="a4"/>
    <w:qFormat/>
    <w:rsid w:val="00454F8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54F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454F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53</cp:revision>
  <cp:lastPrinted>2019-02-15T07:25:00Z</cp:lastPrinted>
  <dcterms:created xsi:type="dcterms:W3CDTF">2018-08-14T01:07:00Z</dcterms:created>
  <dcterms:modified xsi:type="dcterms:W3CDTF">2019-03-20T05:20:00Z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