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黑体" w:hAnsi="宋体" w:eastAsia="黑体"/>
          <w:b/>
          <w:sz w:val="36"/>
          <w:szCs w:val="36"/>
        </w:rPr>
      </w:pPr>
      <w:r>
        <w:rPr>
          <w:rFonts w:hint="eastAsia" w:ascii="黑体" w:hAnsi="宋体" w:eastAsia="黑体"/>
          <w:b/>
          <w:sz w:val="36"/>
          <w:szCs w:val="36"/>
        </w:rPr>
        <w:t xml:space="preserve"> 眼科</w:t>
      </w:r>
      <w:r>
        <w:rPr>
          <w:rFonts w:hint="eastAsia" w:ascii="黑体" w:hAnsi="宋体" w:eastAsia="黑体"/>
          <w:b/>
          <w:sz w:val="36"/>
          <w:szCs w:val="36"/>
          <w:lang w:eastAsia="zh-CN"/>
        </w:rPr>
        <w:t>实验室</w:t>
      </w:r>
      <w:r>
        <w:rPr>
          <w:rFonts w:hint="eastAsia" w:ascii="黑体" w:hAnsi="宋体" w:eastAsia="黑体"/>
          <w:b/>
          <w:sz w:val="36"/>
          <w:szCs w:val="36"/>
        </w:rPr>
        <w:t>“梯度PCR仪”招标需求一览表</w:t>
      </w:r>
    </w:p>
    <w:tbl>
      <w:tblPr>
        <w:tblStyle w:val="5"/>
        <w:tblW w:w="96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659"/>
        <w:gridCol w:w="6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7" w:type="dxa"/>
            <w:gridSpan w:val="2"/>
            <w:vAlign w:val="center"/>
          </w:tcPr>
          <w:p>
            <w:pPr>
              <w:spacing w:after="0" w:line="300" w:lineRule="auto"/>
              <w:jc w:val="center"/>
              <w:rPr>
                <w:rFonts w:ascii="华文楷体" w:hAnsi="华文楷体" w:eastAsia="华文楷体"/>
                <w:b/>
                <w:sz w:val="32"/>
                <w:szCs w:val="32"/>
              </w:rPr>
            </w:pPr>
            <w:r>
              <w:rPr>
                <w:rFonts w:hint="eastAsia" w:ascii="楷体_GB2312" w:hAnsi="宋体" w:eastAsia="楷体_GB2312"/>
                <w:b/>
                <w:sz w:val="28"/>
              </w:rPr>
              <w:t>产品主要用途</w:t>
            </w:r>
          </w:p>
        </w:tc>
        <w:tc>
          <w:tcPr>
            <w:tcW w:w="6485" w:type="dxa"/>
            <w:vAlign w:val="center"/>
          </w:tcPr>
          <w:p>
            <w:pPr>
              <w:spacing w:after="0" w:line="300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主要用于DNA的扩增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7" w:type="dxa"/>
            <w:gridSpan w:val="2"/>
            <w:vAlign w:val="center"/>
          </w:tcPr>
          <w:p>
            <w:pPr>
              <w:spacing w:after="0" w:line="300" w:lineRule="auto"/>
              <w:jc w:val="center"/>
              <w:rPr>
                <w:rFonts w:ascii="华文楷体" w:hAnsi="华文楷体" w:eastAsia="华文楷体"/>
                <w:b/>
                <w:sz w:val="32"/>
                <w:szCs w:val="32"/>
              </w:rPr>
            </w:pPr>
            <w:r>
              <w:rPr>
                <w:rFonts w:hint="eastAsia" w:ascii="楷体_GB2312" w:hAnsi="宋体" w:eastAsia="楷体_GB2312"/>
                <w:b/>
                <w:sz w:val="28"/>
              </w:rPr>
              <w:t>安装场地</w:t>
            </w:r>
          </w:p>
        </w:tc>
        <w:tc>
          <w:tcPr>
            <w:tcW w:w="6485" w:type="dxa"/>
            <w:vAlign w:val="center"/>
          </w:tcPr>
          <w:p>
            <w:pPr>
              <w:spacing w:after="0" w:line="300" w:lineRule="auto"/>
              <w:rPr>
                <w:rFonts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第三住院部E区5楼眼科实验室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7" w:type="dxa"/>
            <w:gridSpan w:val="2"/>
            <w:vAlign w:val="center"/>
          </w:tcPr>
          <w:p>
            <w:pPr>
              <w:spacing w:after="0" w:line="300" w:lineRule="auto"/>
              <w:jc w:val="center"/>
              <w:rPr>
                <w:rFonts w:ascii="华文楷体" w:hAnsi="华文楷体" w:eastAsia="华文楷体"/>
                <w:b/>
                <w:sz w:val="32"/>
                <w:szCs w:val="32"/>
              </w:rPr>
            </w:pPr>
            <w:r>
              <w:rPr>
                <w:rFonts w:hint="eastAsia" w:ascii="楷体_GB2312" w:hAnsi="宋体" w:eastAsia="楷体_GB2312"/>
                <w:b/>
                <w:sz w:val="28"/>
              </w:rPr>
              <w:t>使用环境</w:t>
            </w:r>
          </w:p>
        </w:tc>
        <w:tc>
          <w:tcPr>
            <w:tcW w:w="6485" w:type="dxa"/>
            <w:vAlign w:val="center"/>
          </w:tcPr>
          <w:p>
            <w:pPr>
              <w:spacing w:after="0" w:line="300" w:lineRule="auto"/>
              <w:rPr>
                <w:rFonts w:ascii="华文楷体" w:hAnsi="华文楷体" w:eastAsia="华文楷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sz w:val="24"/>
              </w:rPr>
              <w:t>无特殊要求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2" w:type="dxa"/>
            <w:gridSpan w:val="3"/>
            <w:vAlign w:val="center"/>
          </w:tcPr>
          <w:p>
            <w:pPr>
              <w:spacing w:after="0" w:line="300" w:lineRule="auto"/>
              <w:jc w:val="center"/>
              <w:rPr>
                <w:rFonts w:ascii="华文楷体" w:hAnsi="华文楷体" w:eastAsia="华文楷体"/>
                <w:b/>
                <w:sz w:val="32"/>
                <w:szCs w:val="32"/>
              </w:rPr>
            </w:pPr>
            <w:r>
              <w:rPr>
                <w:rFonts w:hint="eastAsia" w:ascii="华文楷体" w:hAnsi="华文楷体" w:eastAsia="华文楷体"/>
                <w:b/>
                <w:sz w:val="32"/>
                <w:szCs w:val="32"/>
              </w:rPr>
              <w:t>技术参数要求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 w:cs="华文中宋" w:hAnsiTheme="minorEastAsia"/>
                <w:b/>
                <w:bCs/>
                <w:sz w:val="28"/>
                <w:szCs w:val="28"/>
              </w:rPr>
              <w:t>主要配置名称</w:t>
            </w:r>
          </w:p>
        </w:tc>
        <w:tc>
          <w:tcPr>
            <w:tcW w:w="7144" w:type="dxa"/>
            <w:gridSpan w:val="2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具体性能与参数要求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518" w:type="dxa"/>
            <w:vMerge w:val="restart"/>
            <w:vAlign w:val="center"/>
          </w:tcPr>
          <w:p>
            <w:pPr>
              <w:spacing w:after="0" w:line="300" w:lineRule="auto"/>
              <w:jc w:val="center"/>
              <w:rPr>
                <w:rFonts w:ascii="宋体" w:hAnsi="宋体"/>
                <w:b/>
                <w:color w:val="FF0000"/>
                <w:sz w:val="24"/>
              </w:rPr>
            </w:pP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梯度PCR仪主机参数</w:t>
            </w:r>
          </w:p>
        </w:tc>
        <w:tc>
          <w:tcPr>
            <w:tcW w:w="7144" w:type="dxa"/>
            <w:gridSpan w:val="2"/>
            <w:vAlign w:val="center"/>
          </w:tcPr>
          <w:p>
            <w:pPr>
              <w:pStyle w:val="2"/>
              <w:spacing w:line="276" w:lineRule="auto"/>
              <w:rPr>
                <w:rFonts w:ascii="Times New Roman" w:hAnsi="Times New Roman"/>
                <w:szCs w:val="24"/>
              </w:rPr>
            </w:pPr>
            <w:bookmarkStart w:id="0" w:name="OLE_LINK25"/>
            <w:r>
              <w:rPr>
                <w:rFonts w:hint="eastAsia" w:ascii="楷体_GB2312" w:hAnsi="宋体" w:eastAsia="楷体_GB2312"/>
                <w:sz w:val="24"/>
              </w:rPr>
              <w:t>★</w:t>
            </w:r>
            <w:bookmarkEnd w:id="0"/>
            <w:r>
              <w:rPr>
                <w:rFonts w:hint="eastAsia" w:ascii="楷体_GB2312" w:hAnsi="宋体" w:eastAsia="楷体_GB2312"/>
                <w:sz w:val="24"/>
              </w:rPr>
              <w:t>1、样品基座：0.2ml×96孔；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518" w:type="dxa"/>
            <w:vMerge w:val="continue"/>
            <w:vAlign w:val="center"/>
          </w:tcPr>
          <w:p>
            <w:pPr>
              <w:spacing w:after="0" w:line="300" w:lineRule="auto"/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  <w:tc>
          <w:tcPr>
            <w:tcW w:w="7144" w:type="dxa"/>
            <w:gridSpan w:val="2"/>
            <w:vAlign w:val="center"/>
          </w:tcPr>
          <w:p>
            <w:pPr>
              <w:pStyle w:val="2"/>
              <w:spacing w:line="276" w:lineRule="auto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hAnsi="宋体" w:cs="宋体"/>
                <w:b/>
                <w:sz w:val="28"/>
                <w:szCs w:val="28"/>
              </w:rPr>
              <w:t>▲</w:t>
            </w:r>
            <w:r>
              <w:rPr>
                <w:rFonts w:hint="eastAsia" w:ascii="楷体_GB2312" w:hAnsi="宋体" w:eastAsia="楷体_GB2312"/>
                <w:sz w:val="24"/>
              </w:rPr>
              <w:t>2、最大模块变温速率：4℃/Sec，最大样品变温速率：3.1℃/Sec；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518" w:type="dxa"/>
            <w:vMerge w:val="continue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7144" w:type="dxa"/>
            <w:gridSpan w:val="2"/>
            <w:vAlign w:val="center"/>
          </w:tcPr>
          <w:p>
            <w:pPr>
              <w:pStyle w:val="2"/>
              <w:spacing w:line="276" w:lineRule="auto"/>
              <w:rPr>
                <w:rFonts w:hAnsi="宋体" w:cs="宋体"/>
                <w:b/>
                <w:sz w:val="28"/>
                <w:szCs w:val="28"/>
              </w:rPr>
            </w:pPr>
            <w:r>
              <w:rPr>
                <w:rFonts w:hint="eastAsia" w:hAnsi="宋体" w:cs="宋体"/>
                <w:b/>
                <w:sz w:val="28"/>
                <w:szCs w:val="28"/>
              </w:rPr>
              <w:t>▲</w:t>
            </w:r>
            <w:r>
              <w:rPr>
                <w:rFonts w:hint="eastAsia" w:ascii="楷体_GB2312" w:hAnsi="宋体" w:eastAsia="楷体_GB2312"/>
                <w:sz w:val="24"/>
              </w:rPr>
              <w:t>3、采用梯度模块，最少3个独立控温区，用户可自行设定梯度温度，实现真正意义的绝对梯度；并可以在一次PCR实验中同时使用最少3个不同引物 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Merge w:val="continue"/>
            <w:vAlign w:val="center"/>
          </w:tcPr>
          <w:p>
            <w:pPr>
              <w:spacing w:after="0" w:line="300" w:lineRule="auto"/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  <w:tc>
          <w:tcPr>
            <w:tcW w:w="7144" w:type="dxa"/>
            <w:gridSpan w:val="2"/>
            <w:vAlign w:val="center"/>
          </w:tcPr>
          <w:p>
            <w:pPr>
              <w:spacing w:after="0" w:line="300" w:lineRule="auto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▲</w:t>
            </w: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4、温度显示精度：0.1℃，计算机计算不同样品体积的实际样品温度，PCR仪直接控制样品实际温度，实验需要的就是样品温度而非模块温度；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518" w:type="dxa"/>
            <w:vMerge w:val="continue"/>
            <w:vAlign w:val="center"/>
          </w:tcPr>
          <w:p>
            <w:pPr>
              <w:spacing w:after="0" w:line="300" w:lineRule="auto"/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  <w:tc>
          <w:tcPr>
            <w:tcW w:w="7144" w:type="dxa"/>
            <w:gridSpan w:val="2"/>
            <w:vAlign w:val="center"/>
          </w:tcPr>
          <w:p>
            <w:pPr>
              <w:pStyle w:val="2"/>
              <w:spacing w:line="276" w:lineRule="auto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5、温度范围： 0～99.9℃；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518" w:type="dxa"/>
            <w:vMerge w:val="continue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7144" w:type="dxa"/>
            <w:gridSpan w:val="2"/>
            <w:vAlign w:val="center"/>
          </w:tcPr>
          <w:p>
            <w:pPr>
              <w:pStyle w:val="2"/>
              <w:spacing w:line="276" w:lineRule="auto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6、静态样本基座温度均匀性：</w:t>
            </w:r>
            <w:r>
              <w:rPr>
                <w:rFonts w:eastAsia="楷体_GB2312" w:asciiTheme="minorHAnsi" w:hAnsiTheme="minorHAnsi"/>
                <w:sz w:val="24"/>
              </w:rPr>
              <w:t>&lt;</w:t>
            </w:r>
            <w:r>
              <w:rPr>
                <w:rFonts w:hint="eastAsia" w:ascii="楷体_GB2312" w:hAnsi="宋体" w:eastAsia="楷体_GB2312"/>
                <w:sz w:val="24"/>
              </w:rPr>
              <w:t>0.5℃；温度准确性：≤±0.25℃；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518" w:type="dxa"/>
            <w:vMerge w:val="continue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7144" w:type="dxa"/>
            <w:gridSpan w:val="2"/>
            <w:vAlign w:val="center"/>
          </w:tcPr>
          <w:p>
            <w:pPr>
              <w:pStyle w:val="2"/>
              <w:spacing w:line="276" w:lineRule="auto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7、具有≥8英寸彩色TFT触摸式显示屏，大的导航按钮设置参数简单方便；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Merge w:val="continue"/>
            <w:vAlign w:val="center"/>
          </w:tcPr>
          <w:p>
            <w:pPr>
              <w:spacing w:after="0" w:line="300" w:lineRule="auto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7144" w:type="dxa"/>
            <w:gridSpan w:val="2"/>
            <w:vAlign w:val="center"/>
          </w:tcPr>
          <w:p>
            <w:pPr>
              <w:pStyle w:val="2"/>
              <w:spacing w:line="276" w:lineRule="auto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8、具有USB记忆棒插槽，用于转移程序，存储不限数量的程序；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Merge w:val="continue"/>
            <w:vAlign w:val="center"/>
          </w:tcPr>
          <w:p>
            <w:pPr>
              <w:spacing w:after="0" w:line="300" w:lineRule="auto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7144" w:type="dxa"/>
            <w:gridSpan w:val="2"/>
            <w:vAlign w:val="center"/>
          </w:tcPr>
          <w:p>
            <w:pPr>
              <w:pStyle w:val="2"/>
              <w:spacing w:line="276" w:lineRule="auto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9、采用wifi连接，可以使用手机在任意地方监控仪器运行状态；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2518" w:type="dxa"/>
            <w:vMerge w:val="continue"/>
            <w:vAlign w:val="center"/>
          </w:tcPr>
          <w:p>
            <w:pPr>
              <w:spacing w:after="0" w:line="300" w:lineRule="auto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7144" w:type="dxa"/>
            <w:gridSpan w:val="2"/>
          </w:tcPr>
          <w:p>
            <w:pPr>
              <w:pStyle w:val="2"/>
              <w:spacing w:line="276" w:lineRule="auto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10. 软件：内置各种PCR程序模板，可直接调用；内置Touchdown及Long range等可选功能辅助优化PCR程序。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Merge w:val="continue"/>
            <w:vAlign w:val="center"/>
          </w:tcPr>
          <w:p>
            <w:pPr>
              <w:spacing w:after="0" w:line="300" w:lineRule="auto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7144" w:type="dxa"/>
            <w:gridSpan w:val="2"/>
            <w:vAlign w:val="center"/>
          </w:tcPr>
          <w:p>
            <w:pPr>
              <w:pStyle w:val="2"/>
              <w:spacing w:line="276" w:lineRule="auto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11. 具有模拟市面上主流PCR仪的功能，无须优化即可直接使用其它型号的程序。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设备配置清单</w:t>
            </w:r>
          </w:p>
        </w:tc>
        <w:tc>
          <w:tcPr>
            <w:tcW w:w="7144" w:type="dxa"/>
            <w:gridSpan w:val="2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center"/>
          </w:tcPr>
          <w:p>
            <w:pPr>
              <w:pStyle w:val="2"/>
              <w:spacing w:line="276" w:lineRule="auto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1、整机</w:t>
            </w:r>
          </w:p>
        </w:tc>
        <w:tc>
          <w:tcPr>
            <w:tcW w:w="7144" w:type="dxa"/>
            <w:gridSpan w:val="2"/>
            <w:vAlign w:val="center"/>
          </w:tcPr>
          <w:p>
            <w:pPr>
              <w:pStyle w:val="2"/>
              <w:spacing w:line="276" w:lineRule="auto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center"/>
          </w:tcPr>
          <w:p>
            <w:pPr>
              <w:pStyle w:val="2"/>
              <w:spacing w:line="276" w:lineRule="auto"/>
              <w:rPr>
                <w:rFonts w:ascii="楷体_GB2312" w:hAnsi="宋体" w:eastAsia="楷体_GB2312"/>
                <w:sz w:val="24"/>
              </w:rPr>
            </w:pPr>
            <w:bookmarkStart w:id="1" w:name="OLE_LINK11"/>
            <w:bookmarkStart w:id="2" w:name="OLE_LINK12"/>
            <w:r>
              <w:rPr>
                <w:rFonts w:hint="eastAsia" w:ascii="楷体_GB2312" w:hAnsi="宋体" w:eastAsia="楷体_GB2312"/>
                <w:sz w:val="24"/>
              </w:rPr>
              <w:t>2、使用说明书</w:t>
            </w:r>
            <w:bookmarkEnd w:id="1"/>
            <w:bookmarkEnd w:id="2"/>
          </w:p>
        </w:tc>
        <w:tc>
          <w:tcPr>
            <w:tcW w:w="7144" w:type="dxa"/>
            <w:gridSpan w:val="2"/>
            <w:vAlign w:val="center"/>
          </w:tcPr>
          <w:p>
            <w:pPr>
              <w:pStyle w:val="2"/>
              <w:spacing w:line="276" w:lineRule="auto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9662" w:type="dxa"/>
            <w:gridSpan w:val="3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 xml:space="preserve">备注： 1、带“★”符号项目为必须满足指标，若出现一项负偏离，则视为废标      </w:t>
            </w:r>
          </w:p>
          <w:p>
            <w:pPr>
              <w:spacing w:after="0" w:line="240" w:lineRule="auto"/>
              <w:ind w:firstLine="843" w:firstLineChars="350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2、带“▲”符号项目为重要指标，若出现三项及以上负偏离，则视为废标</w:t>
            </w:r>
          </w:p>
          <w:p>
            <w:pPr>
              <w:spacing w:after="0" w:line="240" w:lineRule="auto"/>
              <w:ind w:firstLine="843" w:firstLineChars="350"/>
              <w:rPr>
                <w:rFonts w:ascii="楷体_GB2312" w:hAnsi="宋体" w:eastAsia="楷体_GB2312"/>
                <w:b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3、其他项目为一般指标，若出现五项及以上负偏离，则视为废标</w:t>
            </w:r>
          </w:p>
        </w:tc>
      </w:tr>
    </w:tbl>
    <w:p>
      <w:pPr>
        <w:rPr>
          <w:rFonts w:ascii="黑体" w:hAnsi="黑体" w:eastAsia="黑体" w:cs="黑体"/>
          <w:sz w:val="44"/>
          <w:szCs w:val="44"/>
        </w:rPr>
      </w:pPr>
      <w:bookmarkStart w:id="3" w:name="_GoBack"/>
      <w:bookmarkEnd w:id="3"/>
    </w:p>
    <w:sectPr>
      <w:pgSz w:w="11906" w:h="16838"/>
      <w:pgMar w:top="873" w:right="1230" w:bottom="873" w:left="123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华文楷体">
    <w:altName w:val="hakuyoxingshu7000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hakuyoxingshu7000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75F6"/>
    <w:rsid w:val="000300D4"/>
    <w:rsid w:val="00071001"/>
    <w:rsid w:val="000974A7"/>
    <w:rsid w:val="000A2B25"/>
    <w:rsid w:val="000A36F0"/>
    <w:rsid w:val="000A517D"/>
    <w:rsid w:val="000B170E"/>
    <w:rsid w:val="000B2C64"/>
    <w:rsid w:val="00137162"/>
    <w:rsid w:val="00172934"/>
    <w:rsid w:val="001C0988"/>
    <w:rsid w:val="001E3511"/>
    <w:rsid w:val="001F4C82"/>
    <w:rsid w:val="002368D5"/>
    <w:rsid w:val="00237F5B"/>
    <w:rsid w:val="002621E7"/>
    <w:rsid w:val="002675F6"/>
    <w:rsid w:val="002E358B"/>
    <w:rsid w:val="00333CA2"/>
    <w:rsid w:val="0035772A"/>
    <w:rsid w:val="00364B88"/>
    <w:rsid w:val="003705BD"/>
    <w:rsid w:val="003A5844"/>
    <w:rsid w:val="003C25C7"/>
    <w:rsid w:val="004113BD"/>
    <w:rsid w:val="00426F34"/>
    <w:rsid w:val="00440DDA"/>
    <w:rsid w:val="00446BE3"/>
    <w:rsid w:val="0045245C"/>
    <w:rsid w:val="00453764"/>
    <w:rsid w:val="00470DD8"/>
    <w:rsid w:val="004913F9"/>
    <w:rsid w:val="004A7B65"/>
    <w:rsid w:val="004D3774"/>
    <w:rsid w:val="004F0930"/>
    <w:rsid w:val="004F56E6"/>
    <w:rsid w:val="00507CCB"/>
    <w:rsid w:val="00515E2D"/>
    <w:rsid w:val="005254A1"/>
    <w:rsid w:val="00534523"/>
    <w:rsid w:val="00553C6F"/>
    <w:rsid w:val="005552EE"/>
    <w:rsid w:val="00574749"/>
    <w:rsid w:val="00580633"/>
    <w:rsid w:val="005C01BB"/>
    <w:rsid w:val="005C5B8C"/>
    <w:rsid w:val="005D1721"/>
    <w:rsid w:val="005E72F0"/>
    <w:rsid w:val="005F60E8"/>
    <w:rsid w:val="00604726"/>
    <w:rsid w:val="00605A9B"/>
    <w:rsid w:val="006501F4"/>
    <w:rsid w:val="00661A74"/>
    <w:rsid w:val="006A0EC7"/>
    <w:rsid w:val="006A5887"/>
    <w:rsid w:val="006B04D4"/>
    <w:rsid w:val="006E1074"/>
    <w:rsid w:val="006F14FD"/>
    <w:rsid w:val="00706616"/>
    <w:rsid w:val="00743769"/>
    <w:rsid w:val="007E4307"/>
    <w:rsid w:val="0082377E"/>
    <w:rsid w:val="008406DD"/>
    <w:rsid w:val="008439B9"/>
    <w:rsid w:val="00881FB8"/>
    <w:rsid w:val="00884F35"/>
    <w:rsid w:val="008B3E3D"/>
    <w:rsid w:val="008C0CEB"/>
    <w:rsid w:val="008C556E"/>
    <w:rsid w:val="008E3E48"/>
    <w:rsid w:val="00910A44"/>
    <w:rsid w:val="009152B9"/>
    <w:rsid w:val="00955DAC"/>
    <w:rsid w:val="0098328B"/>
    <w:rsid w:val="00997794"/>
    <w:rsid w:val="009C221A"/>
    <w:rsid w:val="009E5092"/>
    <w:rsid w:val="009F0328"/>
    <w:rsid w:val="00A0148B"/>
    <w:rsid w:val="00A34DE3"/>
    <w:rsid w:val="00AA776E"/>
    <w:rsid w:val="00B23C2C"/>
    <w:rsid w:val="00B52FE3"/>
    <w:rsid w:val="00B82710"/>
    <w:rsid w:val="00BC4B15"/>
    <w:rsid w:val="00BF6919"/>
    <w:rsid w:val="00C079A5"/>
    <w:rsid w:val="00C155B1"/>
    <w:rsid w:val="00CB45A9"/>
    <w:rsid w:val="00CD56B1"/>
    <w:rsid w:val="00CD65BD"/>
    <w:rsid w:val="00D258A6"/>
    <w:rsid w:val="00D9216A"/>
    <w:rsid w:val="00DC3987"/>
    <w:rsid w:val="00DD46F6"/>
    <w:rsid w:val="00DD65DC"/>
    <w:rsid w:val="00DE60F7"/>
    <w:rsid w:val="00DE6CD6"/>
    <w:rsid w:val="00E21759"/>
    <w:rsid w:val="00E33B51"/>
    <w:rsid w:val="00E369BD"/>
    <w:rsid w:val="00E85459"/>
    <w:rsid w:val="00E96A35"/>
    <w:rsid w:val="00EA030F"/>
    <w:rsid w:val="00EC4A00"/>
    <w:rsid w:val="00ED52FA"/>
    <w:rsid w:val="00F405CE"/>
    <w:rsid w:val="00F40C95"/>
    <w:rsid w:val="00F83DFD"/>
    <w:rsid w:val="00F85676"/>
    <w:rsid w:val="00F93FAB"/>
    <w:rsid w:val="00FD608C"/>
    <w:rsid w:val="6ADE08D5"/>
    <w:rsid w:val="725A12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nhideWhenUsed/>
    <w:qFormat/>
    <w:uiPriority w:val="0"/>
    <w:pPr>
      <w:spacing w:after="0" w:line="240" w:lineRule="auto"/>
    </w:pPr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qFormat/>
    <w:uiPriority w:val="0"/>
    <w:pPr>
      <w:tabs>
        <w:tab w:val="center" w:pos="4320"/>
        <w:tab w:val="right" w:pos="8640"/>
      </w:tabs>
      <w:spacing w:after="0" w:line="240" w:lineRule="auto"/>
    </w:pPr>
  </w:style>
  <w:style w:type="paragraph" w:styleId="4">
    <w:name w:val="header"/>
    <w:basedOn w:val="1"/>
    <w:link w:val="7"/>
    <w:qFormat/>
    <w:uiPriority w:val="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7">
    <w:name w:val="页眉 Char"/>
    <w:basedOn w:val="6"/>
    <w:link w:val="4"/>
    <w:qFormat/>
    <w:uiPriority w:val="0"/>
    <w:rPr>
      <w:kern w:val="2"/>
      <w:sz w:val="21"/>
      <w:szCs w:val="24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21"/>
      <w:szCs w:val="24"/>
    </w:rPr>
  </w:style>
  <w:style w:type="paragraph" w:styleId="9">
    <w:name w:val="List Paragraph"/>
    <w:basedOn w:val="1"/>
    <w:qFormat/>
    <w:uiPriority w:val="34"/>
    <w:pPr>
      <w:spacing w:after="0" w:line="240" w:lineRule="auto"/>
      <w:ind w:firstLine="420" w:firstLineChars="200"/>
    </w:pPr>
    <w:rPr>
      <w:rFonts w:ascii="Calibri" w:hAnsi="Calibri" w:eastAsia="宋体" w:cs="Times New Roman"/>
      <w:sz w:val="24"/>
    </w:rPr>
  </w:style>
  <w:style w:type="character" w:customStyle="1" w:styleId="10">
    <w:name w:val="纯文本 Char"/>
    <w:basedOn w:val="6"/>
    <w:qFormat/>
    <w:uiPriority w:val="0"/>
    <w:rPr>
      <w:rFonts w:ascii="Consolas" w:hAnsi="Consolas"/>
      <w:kern w:val="2"/>
      <w:sz w:val="21"/>
      <w:szCs w:val="21"/>
    </w:rPr>
  </w:style>
  <w:style w:type="character" w:customStyle="1" w:styleId="11">
    <w:name w:val="纯文本 Char1"/>
    <w:basedOn w:val="6"/>
    <w:link w:val="2"/>
    <w:qFormat/>
    <w:locked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Life Technologies</Company>
  <Pages>2</Pages>
  <Words>115</Words>
  <Characters>656</Characters>
  <Lines>5</Lines>
  <Paragraphs>1</Paragraphs>
  <TotalTime>10</TotalTime>
  <ScaleCrop>false</ScaleCrop>
  <LinksUpToDate>false</LinksUpToDate>
  <CharactersWithSpaces>770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2017-10-30T03:21:00Z</dcterms:created>
  <dc:creator>zhangjingtao</dc:creator>
  <cp:lastModifiedBy>?????</cp:lastModifiedBy>
  <dcterms:modified xsi:type="dcterms:W3CDTF">2019-03-05T03:50:41Z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