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bookmarkStart w:id="0" w:name="_GoBack"/>
      <w:r>
        <w:rPr>
          <w:rFonts w:hint="eastAsia" w:ascii="Calibri" w:hAnsi="Calibri" w:eastAsia="黑体" w:cs="Times New Roman"/>
          <w:b/>
          <w:sz w:val="36"/>
          <w:szCs w:val="36"/>
        </w:rPr>
        <w:t>泌尿外科 “</w:t>
      </w:r>
      <w:r>
        <w:rPr>
          <w:rFonts w:hint="eastAsia" w:ascii="Calibri" w:hAnsi="Calibri" w:eastAsia="黑体" w:cs="Times New Roman"/>
          <w:b/>
          <w:sz w:val="32"/>
          <w:szCs w:val="32"/>
        </w:rPr>
        <w:t>显微手术小动物麻醉系统</w:t>
      </w:r>
      <w:r>
        <w:rPr>
          <w:rFonts w:hint="eastAsia" w:ascii="Calibri" w:hAnsi="Calibri" w:eastAsia="黑体" w:cs="Times New Roman"/>
          <w:b/>
          <w:sz w:val="36"/>
          <w:szCs w:val="36"/>
        </w:rPr>
        <w:t>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bookmarkEnd w:id="0"/>
    <w:tbl>
      <w:tblPr>
        <w:tblStyle w:val="3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主要用于动物手术麻醉、动物活体成像麻醉、麻醉机制研究、安乐死等等实验过程，是神经解剖、神经生理、神经药理和神经外科等领域内的重要研究设备，同时也是光遗传、电生理、在体成像等实验的必配设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hint="eastAsia" w:ascii="Calibri" w:hAnsi="Calibri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★1、麻醉系统</w:t>
            </w:r>
            <w:r>
              <w:rPr>
                <w:rFonts w:hint="eastAsia" w:ascii="Calibri" w:hAnsi="Calibri" w:eastAsia="宋体" w:cs="Times New Roman"/>
                <w:b/>
                <w:sz w:val="24"/>
                <w:lang w:eastAsia="zh-CN"/>
              </w:rPr>
              <w:t>：配备双导管微量给药系统，C.C</w:t>
            </w:r>
            <w:r>
              <w:rPr>
                <w:rFonts w:hint="eastAsia" w:ascii="Calibri" w:hAnsi="Calibri" w:eastAsia="宋体" w:cs="Times New Roman"/>
                <w:b/>
                <w:sz w:val="24"/>
                <w:lang w:val="en-US" w:eastAsia="zh-CN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  <w:lang w:eastAsia="zh-CN"/>
              </w:rPr>
              <w:t>0.5mm,OD</w:t>
            </w:r>
            <w:r>
              <w:rPr>
                <w:rFonts w:hint="eastAsia" w:ascii="Calibri" w:hAnsi="Calibri" w:eastAsia="宋体" w:cs="Times New Roman"/>
                <w:b/>
                <w:sz w:val="24"/>
                <w:lang w:val="en-US" w:eastAsia="zh-CN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  <w:lang w:eastAsia="zh-CN"/>
              </w:rPr>
              <w:t>0.48mm×ID</w:t>
            </w:r>
            <w:r>
              <w:rPr>
                <w:rFonts w:hint="eastAsia" w:ascii="Calibri" w:hAnsi="Calibri" w:eastAsia="宋体" w:cs="Times New Roman"/>
                <w:b/>
                <w:sz w:val="24"/>
                <w:lang w:val="en-US" w:eastAsia="zh-CN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  <w:lang w:eastAsia="zh-CN"/>
              </w:rPr>
              <w:t>0.34mm；适用于大鼠、小鼠、仓鼠、豚鼠、兔子、猫等7公斤以内动物；可选配拓展流量计，满足扩展双路气源的实验要求；具有超重报警，具有指示灯和蜂鸣器，提示及时换过滤罐；安全锁定装置，防止麻醉药意外挥发。</w:t>
            </w:r>
          </w:p>
          <w:p>
            <w:pPr>
              <w:spacing w:line="320" w:lineRule="exact"/>
              <w:jc w:val="left"/>
              <w:rPr>
                <w:rFonts w:hint="eastAsia"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▲2、快速充氧功能（给予动物急救和保护实验人员）</w:t>
            </w:r>
            <w:r>
              <w:rPr>
                <w:rFonts w:hint="eastAsia" w:ascii="Calibri" w:hAnsi="Calibri" w:eastAsia="宋体" w:cs="Times New Roman"/>
                <w:b/>
                <w:sz w:val="24"/>
                <w:lang w:eastAsia="zh-CN"/>
              </w:rPr>
              <w:t>，快速充氧速度</w:t>
            </w:r>
            <w:r>
              <w:rPr>
                <w:rFonts w:hint="eastAsia" w:ascii="Calibri" w:hAnsi="Calibri" w:eastAsia="宋体" w:cs="Times New Roman"/>
                <w:b/>
                <w:sz w:val="24"/>
                <w:lang w:val="en-US" w:eastAsia="zh-CN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  <w:lang w:eastAsia="zh-CN"/>
              </w:rPr>
              <w:t>10L/min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3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快速气路转换：诱导盒和麻醉面罩之间转换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4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解剖分离手术器械包一套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hint="eastAsia" w:ascii="Segoe UI Symbol" w:hAnsi="Segoe UI Symbol" w:eastAsia="楷体_GB2312" w:cs="Segoe UI Symbol"/>
                <w:b/>
                <w:bCs/>
              </w:rPr>
              <w:t>5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异氟烷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Segoe UI Symbol" w:hAnsi="Segoe UI Symbol" w:eastAsia="楷体_GB2312" w:cs="Segoe UI Symbol"/>
                <w:b/>
                <w:bCs/>
              </w:rPr>
              <w:t>6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废气回收罐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麻醉系统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快速气路转换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废气回收罐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 xml:space="preserve">解剖分离手术器械包 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jc w:val="right"/>
        <w:rPr>
          <w:b/>
        </w:rPr>
      </w:pPr>
      <w:r>
        <w:rPr>
          <w:rFonts w:hint="eastAsia"/>
          <w:b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9B255D"/>
    <w:rsid w:val="0B9B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2018-12-17T08:45:00Z</dcterms:created>
  <dc:creator>星空之神</dc:creator>
  <cp:lastModifiedBy>星空之神</cp:lastModifiedBy>
  <dcterms:modified xsi:type="dcterms:W3CDTF">2018-12-17T08:46:40Z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