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bookmarkStart w:id="0" w:name="_GoBack"/>
      <w:r>
        <w:rPr>
          <w:rFonts w:hint="eastAsia" w:ascii="Calibri" w:hAnsi="Calibri" w:eastAsia="黑体" w:cs="Times New Roman"/>
          <w:b/>
          <w:sz w:val="36"/>
          <w:szCs w:val="36"/>
        </w:rPr>
        <w:t>泌尿外科 “双槽梯度PCR仪”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bookmarkEnd w:id="0"/>
    <w:tbl>
      <w:tblPr>
        <w:tblStyle w:val="3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核酸扩增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hint="eastAsia" w:ascii="Segoe UI Symbol" w:hAnsi="Segoe UI Symbol" w:cs="Segoe UI Symbol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样品基座：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0.2ml×32孔×3模块，可利用三个独立控制的加热模块同时完成三个不同的实验，可升级高通量样本模块，支持数字芯片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hint="eastAsia" w:ascii="Segoe UI Symbol" w:hAnsi="Segoe UI Symbol" w:cs="Segoe UI Symbol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最大模块变温速率：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6℃/Sec，最大样品变温速率：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4.4℃/Sec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3.静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态样本基座温度均匀性：≤±0.5℃；温度准确性：≤±0.25℃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每个模块配备两组独立控温反应模块，每相邻两个模块最大设置温差达5℃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具有≥8英寸彩色TFT触摸式显示屏，大的导航按钮设置参数简单方便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具有USB记忆棒插槽，用于转移程序，存储不限数量的程序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具有断电自动保护功能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软件配置</w:t>
            </w: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★</w:t>
            </w:r>
            <w:r>
              <w:rPr>
                <w:rFonts w:hint="eastAsia" w:ascii="宋体" w:hAnsi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配备Wi-Fi连接装置，仪器可通过此可下载PCR应用程序到iphone或android移动设备，随时随地查看仪器状态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★</w:t>
            </w:r>
            <w:r>
              <w:rPr>
                <w:rFonts w:hint="eastAsia" w:ascii="宋体" w:hAnsi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内置热学模拟模式，可以模拟市面上主流PCR的热学性能，做到数据无缝连接软件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内置各种PCR程序模板，可直接调用；每个step的升降温速率可调；内置Touchdown及Long range等可选功能辅助优化PCR程序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PCR仪主机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电源线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起始耗材包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jc w:val="right"/>
        <w:rPr>
          <w:b/>
        </w:rPr>
      </w:pPr>
      <w:r>
        <w:rPr>
          <w:rFonts w:hint="eastAsia"/>
          <w:b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B48D1"/>
    <w:rsid w:val="023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2018-12-17T08:42:00Z</dcterms:created>
  <dc:creator>星空之神</dc:creator>
  <cp:lastModifiedBy>星空之神</cp:lastModifiedBy>
  <dcterms:modified xsi:type="dcterms:W3CDTF">2018-12-17T08:43:22Z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