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bookmarkStart w:id="0" w:name="_GoBack"/>
      <w:r>
        <w:rPr>
          <w:rFonts w:hint="eastAsia" w:ascii="Calibri" w:hAnsi="Calibri" w:eastAsia="黑体" w:cs="Times New Roman"/>
          <w:b/>
          <w:sz w:val="36"/>
          <w:szCs w:val="36"/>
        </w:rPr>
        <w:t>泌尿外科 “CO2培养箱”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bookmarkEnd w:id="0"/>
    <w:tbl>
      <w:tblPr>
        <w:tblStyle w:val="3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提供实验所需要合适的温度、湿度、二氧化碳浓度。哺乳动物细胞的体外培养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硬件配置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CO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传感器：NDIR双波红外传感器（避免以往TC探头带来的CO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浓度不准确）；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湿热循环灭菌功能，采用90 ℃湿热灭菌方式消除污染微生物，避免高温干热灭菌方式带来的风险；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Calibri" w:hAnsi="Calibri" w:eastAsia="楷体_GB2312" w:cs="Times New Roman"/>
                <w:b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3、培养箱主体表面覆有ISOCIDE™抗菌涂层，可有效地抑制微生物在表面滋生；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4、CO2含量范围：0～20%CO2；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5、内腔体积：≥170 L；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软件配置</w:t>
            </w:r>
          </w:p>
        </w:tc>
        <w:tc>
          <w:tcPr>
            <w:tcW w:w="7308" w:type="dxa"/>
            <w:gridSpan w:val="2"/>
          </w:tcPr>
          <w:p>
            <w:pPr>
              <w:rPr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1、温度控制精度：&lt;±0.1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2、温度恢复时间（开门1min后），无冲温现象： 6 mins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3、CO2控制系统：PID微电脑程序控制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4、所有进入培养箱的气体均经过0.2μm在线滤器过滤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二氧化碳培养箱主机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隔板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kern w:val="0"/>
                <w:sz w:val="21"/>
                <w:szCs w:val="21"/>
              </w:rPr>
              <w:t>90度湿热灭菌功能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rPr>
          <w:rFonts w:hint="eastAsia"/>
          <w:b/>
        </w:rPr>
      </w:pPr>
    </w:p>
    <w:p>
      <w:pPr>
        <w:spacing w:line="300" w:lineRule="auto"/>
        <w:jc w:val="right"/>
        <w:rPr>
          <w:b/>
        </w:rPr>
      </w:pPr>
      <w:r>
        <w:rPr>
          <w:rFonts w:hint="eastAsia"/>
          <w:b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84710"/>
    <w:rsid w:val="3208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2018-12-17T08:40:00Z</dcterms:created>
  <dc:creator>星空之神</dc:creator>
  <cp:lastModifiedBy>星空之神</cp:lastModifiedBy>
  <dcterms:modified xsi:type="dcterms:W3CDTF">2018-12-17T08:42:39Z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