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EC9" w:rsidRDefault="00954E6A" w:rsidP="00CE0F46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高内科实验室</w:t>
      </w:r>
      <w:r w:rsidR="00FF40AC">
        <w:rPr>
          <w:rFonts w:ascii="黑体" w:eastAsia="黑体" w:hAnsi="宋体" w:hint="eastAsia"/>
          <w:b/>
          <w:sz w:val="36"/>
          <w:szCs w:val="36"/>
        </w:rPr>
        <w:t>“</w:t>
      </w:r>
      <w:r w:rsidR="00FF40AC">
        <w:rPr>
          <w:rFonts w:ascii="黑体" w:eastAsia="黑体" w:hAnsi="黑体" w:cs="黑体" w:hint="eastAsia"/>
          <w:b/>
          <w:sz w:val="36"/>
          <w:szCs w:val="36"/>
        </w:rPr>
        <w:t>双通道高分辨呼吸测定仪</w:t>
      </w:r>
      <w:r w:rsidR="00FF40AC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993EC9">
        <w:trPr>
          <w:trHeight w:val="464"/>
          <w:jc w:val="center"/>
        </w:trPr>
        <w:tc>
          <w:tcPr>
            <w:tcW w:w="2360" w:type="dxa"/>
            <w:vAlign w:val="center"/>
          </w:tcPr>
          <w:p w:rsidR="00993EC9" w:rsidRDefault="00FF40AC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993EC9" w:rsidRDefault="00FF40AC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用于研究线粒体的呼吸功能、代谢病、老年病等领域以及生物体的能量代谢进行定量分析.实时监测氧浓度和氧消耗</w:t>
            </w:r>
          </w:p>
        </w:tc>
      </w:tr>
      <w:tr w:rsidR="00993EC9">
        <w:trPr>
          <w:trHeight w:val="464"/>
          <w:jc w:val="center"/>
        </w:trPr>
        <w:tc>
          <w:tcPr>
            <w:tcW w:w="2360" w:type="dxa"/>
            <w:vAlign w:val="center"/>
          </w:tcPr>
          <w:p w:rsidR="00993EC9" w:rsidRDefault="00FF40AC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993EC9" w:rsidRDefault="00FF40A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高内科实验室</w:t>
            </w:r>
            <w:bookmarkStart w:id="0" w:name="_GoBack"/>
            <w:bookmarkEnd w:id="0"/>
          </w:p>
        </w:tc>
      </w:tr>
      <w:tr w:rsidR="00993EC9">
        <w:trPr>
          <w:trHeight w:val="464"/>
          <w:jc w:val="center"/>
        </w:trPr>
        <w:tc>
          <w:tcPr>
            <w:tcW w:w="2360" w:type="dxa"/>
            <w:vAlign w:val="center"/>
          </w:tcPr>
          <w:p w:rsidR="00993EC9" w:rsidRDefault="00FF40AC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993EC9" w:rsidRDefault="00FF40AC">
            <w:pPr>
              <w:spacing w:line="440" w:lineRule="exact"/>
              <w:ind w:leftChars="100" w:left="280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工作温度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~</w:t>
            </w:r>
            <w:r>
              <w:rPr>
                <w:rFonts w:hint="eastAsia"/>
                <w:szCs w:val="21"/>
              </w:rPr>
              <w:t>45</w:t>
            </w:r>
            <w:r>
              <w:rPr>
                <w:szCs w:val="21"/>
              </w:rPr>
              <w:t>°C</w:t>
            </w:r>
          </w:p>
          <w:p w:rsidR="00993EC9" w:rsidRDefault="00FF40AC">
            <w:pPr>
              <w:spacing w:line="440" w:lineRule="exact"/>
              <w:ind w:leftChars="100" w:left="280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工作环境湿度</w:t>
            </w:r>
            <w:r>
              <w:rPr>
                <w:rFonts w:hint="eastAsia"/>
                <w:szCs w:val="21"/>
              </w:rPr>
              <w:t xml:space="preserve"> 2</w:t>
            </w:r>
            <w:r>
              <w:rPr>
                <w:szCs w:val="21"/>
              </w:rPr>
              <w:t>0~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0%</w:t>
            </w:r>
          </w:p>
          <w:p w:rsidR="00993EC9" w:rsidRDefault="00FF40AC">
            <w:pPr>
              <w:spacing w:line="440" w:lineRule="exact"/>
              <w:ind w:leftChars="100" w:left="280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工作供电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220V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50Hz</w:t>
            </w:r>
            <w:r>
              <w:rPr>
                <w:rFonts w:hint="eastAsia"/>
                <w:szCs w:val="21"/>
              </w:rPr>
              <w:t>，接地（零线与地线）小于</w:t>
            </w:r>
            <w:r>
              <w:rPr>
                <w:rFonts w:hint="eastAsia"/>
                <w:szCs w:val="21"/>
              </w:rPr>
              <w:t>5V</w:t>
            </w:r>
          </w:p>
          <w:p w:rsidR="00993EC9" w:rsidRDefault="00993EC9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93EC9">
        <w:trPr>
          <w:jc w:val="center"/>
        </w:trPr>
        <w:tc>
          <w:tcPr>
            <w:tcW w:w="9668" w:type="dxa"/>
            <w:gridSpan w:val="3"/>
            <w:vAlign w:val="center"/>
          </w:tcPr>
          <w:p w:rsidR="00993EC9" w:rsidRDefault="00FF40AC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993EC9">
        <w:trPr>
          <w:trHeight w:val="449"/>
          <w:jc w:val="center"/>
        </w:trPr>
        <w:tc>
          <w:tcPr>
            <w:tcW w:w="2360" w:type="dxa"/>
            <w:vAlign w:val="center"/>
          </w:tcPr>
          <w:p w:rsidR="00993EC9" w:rsidRDefault="00FF40AC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993EC9" w:rsidRDefault="00FF40AC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993EC9">
        <w:trPr>
          <w:jc w:val="center"/>
        </w:trPr>
        <w:tc>
          <w:tcPr>
            <w:tcW w:w="2360" w:type="dxa"/>
            <w:vAlign w:val="center"/>
          </w:tcPr>
          <w:p w:rsidR="00993EC9" w:rsidRDefault="00FF40AC">
            <w:pPr>
              <w:spacing w:line="320" w:lineRule="exact"/>
              <w:jc w:val="center"/>
              <w:rPr>
                <w:rFonts w:ascii="黑体" w:eastAsia="黑体" w:hAnsi="黑体" w:cs="黑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双通道高分辨呼吸测定仪</w:t>
            </w:r>
          </w:p>
        </w:tc>
        <w:tc>
          <w:tcPr>
            <w:tcW w:w="7308" w:type="dxa"/>
            <w:gridSpan w:val="2"/>
            <w:vAlign w:val="center"/>
          </w:tcPr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1.可用于线粒体、细胞、组织以及穿刺活检的组织等进行呼吸测定；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2.采用两仓设计，可提高试验通量，也可以进行对比试验；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▲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3.线粒体蛋白的检测最低浓度≤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0.01mg/ml；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4. 细胞最低检测浓度≤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20万个/ml；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5.无需配置标准气体，可实现无氧和饱和氧浓度全自动校正；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6. 采用电子控温，温度显示精度≤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0.001℃，温度可稳定控制在±0.002℃；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▲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7.采用Peek材料转子，可有效降低转子的氧耗，提高实验的精度，转子的转速≤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900R/Min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▲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8. 可进行低温试验，最低温度≤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4℃，最高温度≥45℃；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9.采用不锈钢外壳，既可以防水，也可以起到屏蔽作用；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10.可进行高氧和低氧环境实验；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11.氧传感器位于待测液的侧边，转动转子时，可实现传感器和溶解氧的充分快速接触；</w:t>
            </w:r>
          </w:p>
          <w:p w:rsidR="00993EC9" w:rsidRDefault="00FF40AC">
            <w:pPr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2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 传感器采用镀金连接器，保证信号传输质量；</w:t>
            </w:r>
          </w:p>
          <w:p w:rsidR="00993EC9" w:rsidRDefault="00FF40AC">
            <w:pPr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  <w:t>▲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3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.流动氧检测极限≤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0.5 pmol.s</w:t>
            </w:r>
            <w:r>
              <w:rPr>
                <w:rFonts w:ascii="黑体" w:eastAsia="黑体" w:hAnsi="黑体" w:cs="黑体" w:hint="eastAsia"/>
                <w:sz w:val="21"/>
                <w:szCs w:val="21"/>
                <w:vertAlign w:val="superscript"/>
              </w:rPr>
              <w:t>-1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.cm</w:t>
            </w:r>
            <w:r>
              <w:rPr>
                <w:rFonts w:ascii="黑体" w:eastAsia="黑体" w:hAnsi="黑体" w:cs="黑体" w:hint="eastAsia"/>
                <w:sz w:val="21"/>
                <w:szCs w:val="21"/>
                <w:vertAlign w:val="superscript"/>
              </w:rPr>
              <w:t>-3</w:t>
            </w:r>
          </w:p>
          <w:p w:rsidR="00993EC9" w:rsidRDefault="00FF40AC">
            <w:pPr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4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.氧传感器灵敏度 ＜2 pmol.s</w:t>
            </w:r>
            <w:r>
              <w:rPr>
                <w:rFonts w:ascii="黑体" w:eastAsia="黑体" w:hAnsi="黑体" w:cs="黑体" w:hint="eastAsia"/>
                <w:sz w:val="21"/>
                <w:szCs w:val="21"/>
                <w:vertAlign w:val="superscript"/>
                <w:lang w:val="zh-CN"/>
              </w:rPr>
              <w:t>-1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.cm</w:t>
            </w:r>
            <w:r>
              <w:rPr>
                <w:rFonts w:ascii="黑体" w:eastAsia="黑体" w:hAnsi="黑体" w:cs="黑体" w:hint="eastAsia"/>
                <w:sz w:val="21"/>
                <w:szCs w:val="21"/>
                <w:vertAlign w:val="superscript"/>
                <w:lang w:val="zh-CN"/>
              </w:rPr>
              <w:t>-3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 xml:space="preserve">  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5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.测试范围：氧气分压0.01～100 kPa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6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.测量噪音 ≤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 xml:space="preserve">0.2 </w:t>
            </w:r>
            <w:proofErr w:type="spellStart"/>
            <w:r>
              <w:rPr>
                <w:rFonts w:ascii="黑体" w:eastAsia="黑体" w:hAnsi="黑体" w:cs="黑体" w:hint="eastAsia"/>
                <w:sz w:val="21"/>
                <w:szCs w:val="21"/>
              </w:rPr>
              <w:t>pmol</w:t>
            </w:r>
            <w:proofErr w:type="spellEnd"/>
            <w:r>
              <w:rPr>
                <w:rFonts w:ascii="黑体" w:eastAsia="黑体" w:hAnsi="黑体" w:cs="黑体" w:hint="eastAsia"/>
                <w:sz w:val="21"/>
                <w:szCs w:val="21"/>
              </w:rPr>
              <w:t>. s</w:t>
            </w:r>
            <w:r>
              <w:rPr>
                <w:rFonts w:ascii="黑体" w:eastAsia="黑体" w:hAnsi="黑体" w:cs="黑体" w:hint="eastAsia"/>
                <w:sz w:val="21"/>
                <w:szCs w:val="21"/>
                <w:vertAlign w:val="superscript"/>
              </w:rPr>
              <w:t>-1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.cm</w:t>
            </w:r>
            <w:r>
              <w:rPr>
                <w:rFonts w:ascii="黑体" w:eastAsia="黑体" w:hAnsi="黑体" w:cs="黑体" w:hint="eastAsia"/>
                <w:sz w:val="21"/>
                <w:szCs w:val="21"/>
                <w:vertAlign w:val="superscript"/>
              </w:rPr>
              <w:t>-3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7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.软件要求：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 xml:space="preserve">   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7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.1软件数据可直接输出到Excel，还可采用不同坐标系，对数据进行不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lastRenderedPageBreak/>
              <w:t>同的对照显示；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 xml:space="preserve">   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7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.2统可通过背景氧测量对系统进行背景校正，有效排除系统氧对外界的扩散、外界对系统的渗透以及系统各组件的氧耗对实验的影响；</w:t>
            </w:r>
          </w:p>
          <w:p w:rsidR="00993EC9" w:rsidRDefault="00FF40AC">
            <w:pPr>
              <w:spacing w:line="360" w:lineRule="auto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 xml:space="preserve">   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7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.3系统软件可实时显示氧浓度和氧消耗速度；</w:t>
            </w:r>
          </w:p>
          <w:p w:rsidR="00993EC9" w:rsidRDefault="00FF40AC">
            <w:pPr>
              <w:spacing w:line="360" w:lineRule="auto"/>
              <w:ind w:firstLineChars="200" w:firstLine="420"/>
              <w:rPr>
                <w:rFonts w:ascii="黑体" w:eastAsia="黑体" w:hAnsi="黑体" w:cs="黑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1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7</w:t>
            </w:r>
            <w:r>
              <w:rPr>
                <w:rFonts w:ascii="黑体" w:eastAsia="黑体" w:hAnsi="黑体" w:cs="黑体" w:hint="eastAsia"/>
                <w:sz w:val="21"/>
                <w:szCs w:val="21"/>
                <w:lang w:val="zh-CN"/>
              </w:rPr>
              <w:t>.4软件可对增益、待测液体浓度、数据采集间隔等参数进行设置；</w:t>
            </w:r>
          </w:p>
          <w:p w:rsidR="00993EC9" w:rsidRDefault="00993EC9">
            <w:pPr>
              <w:widowControl/>
              <w:spacing w:line="320" w:lineRule="exact"/>
              <w:jc w:val="left"/>
              <w:rPr>
                <w:rFonts w:ascii="黑体" w:eastAsia="黑体" w:hAnsi="黑体" w:cs="黑体"/>
                <w:color w:val="000000"/>
                <w:kern w:val="0"/>
                <w:sz w:val="21"/>
                <w:szCs w:val="21"/>
              </w:rPr>
            </w:pPr>
          </w:p>
        </w:tc>
      </w:tr>
      <w:tr w:rsidR="00993EC9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993EC9" w:rsidRDefault="00FF40AC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lastRenderedPageBreak/>
              <w:t>设备配置清单</w:t>
            </w:r>
          </w:p>
        </w:tc>
        <w:tc>
          <w:tcPr>
            <w:tcW w:w="2201" w:type="dxa"/>
            <w:vAlign w:val="center"/>
          </w:tcPr>
          <w:p w:rsidR="00993EC9" w:rsidRDefault="00FF40AC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993EC9">
        <w:trPr>
          <w:jc w:val="center"/>
        </w:trPr>
        <w:tc>
          <w:tcPr>
            <w:tcW w:w="7467" w:type="dxa"/>
            <w:gridSpan w:val="2"/>
            <w:vAlign w:val="center"/>
          </w:tcPr>
          <w:p w:rsidR="00993EC9" w:rsidRDefault="00FF40AC">
            <w:pPr>
              <w:spacing w:line="480" w:lineRule="auto"/>
              <w:ind w:firstLineChars="700" w:firstLine="168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1、双通道高分辨呼吸测定仪</w:t>
            </w:r>
          </w:p>
        </w:tc>
        <w:tc>
          <w:tcPr>
            <w:tcW w:w="2201" w:type="dxa"/>
            <w:vAlign w:val="center"/>
          </w:tcPr>
          <w:p w:rsidR="00993EC9" w:rsidRDefault="00FF40AC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1台</w:t>
            </w:r>
          </w:p>
        </w:tc>
      </w:tr>
      <w:tr w:rsidR="00993EC9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993EC9" w:rsidRDefault="00FF40AC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993EC9" w:rsidRDefault="00FF40AC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993EC9" w:rsidRDefault="00FF40AC" w:rsidP="00CE0F46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 w:rsidR="00CE0F46" w:rsidRDefault="00FF40AC" w:rsidP="00CE0F46">
      <w:pPr>
        <w:spacing w:line="300" w:lineRule="auto"/>
        <w:rPr>
          <w:rFonts w:asciiTheme="minorEastAsia" w:hAnsiTheme="minorEastAsia" w:cs="华文中宋"/>
          <w:b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  <w:r w:rsidR="00CE0F46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                        科室代表签字：</w:t>
      </w:r>
    </w:p>
    <w:p w:rsidR="00CE0F46" w:rsidRDefault="00CE0F46" w:rsidP="00CE0F46">
      <w:pPr>
        <w:spacing w:line="300" w:lineRule="auto"/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p w:rsidR="00993EC9" w:rsidRDefault="00993EC9" w:rsidP="00CE0F46">
      <w:pPr>
        <w:spacing w:line="300" w:lineRule="auto"/>
        <w:rPr>
          <w:b/>
        </w:rPr>
      </w:pPr>
    </w:p>
    <w:sectPr w:rsidR="00993EC9" w:rsidSect="006321C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83D" w:rsidRDefault="008D483D" w:rsidP="00954E6A">
      <w:r>
        <w:separator/>
      </w:r>
    </w:p>
  </w:endnote>
  <w:endnote w:type="continuationSeparator" w:id="0">
    <w:p w:rsidR="008D483D" w:rsidRDefault="008D483D" w:rsidP="00954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83D" w:rsidRDefault="008D483D" w:rsidP="00954E6A">
      <w:r>
        <w:separator/>
      </w:r>
    </w:p>
  </w:footnote>
  <w:footnote w:type="continuationSeparator" w:id="0">
    <w:p w:rsidR="008D483D" w:rsidRDefault="008D483D" w:rsidP="00954E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292DBD"/>
    <w:rsid w:val="0032255F"/>
    <w:rsid w:val="00371340"/>
    <w:rsid w:val="0046625D"/>
    <w:rsid w:val="004B2C8F"/>
    <w:rsid w:val="00572F07"/>
    <w:rsid w:val="005D0783"/>
    <w:rsid w:val="00607BE9"/>
    <w:rsid w:val="00607E7A"/>
    <w:rsid w:val="006321CE"/>
    <w:rsid w:val="006B2EBE"/>
    <w:rsid w:val="0076253C"/>
    <w:rsid w:val="00783D50"/>
    <w:rsid w:val="00792A95"/>
    <w:rsid w:val="007F0031"/>
    <w:rsid w:val="008D483D"/>
    <w:rsid w:val="00923802"/>
    <w:rsid w:val="009335AA"/>
    <w:rsid w:val="00946361"/>
    <w:rsid w:val="00954E6A"/>
    <w:rsid w:val="00993EC9"/>
    <w:rsid w:val="00AD14A5"/>
    <w:rsid w:val="00CA6C8F"/>
    <w:rsid w:val="00CD006F"/>
    <w:rsid w:val="00CE0F46"/>
    <w:rsid w:val="00CE660D"/>
    <w:rsid w:val="00D100C5"/>
    <w:rsid w:val="00D47CFF"/>
    <w:rsid w:val="00E16B86"/>
    <w:rsid w:val="00E16B8C"/>
    <w:rsid w:val="00FF40AC"/>
    <w:rsid w:val="07517E2E"/>
    <w:rsid w:val="080B363C"/>
    <w:rsid w:val="09064409"/>
    <w:rsid w:val="104B1AB9"/>
    <w:rsid w:val="174B794C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1CE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32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632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6321C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6321CE"/>
    <w:rPr>
      <w:b/>
    </w:rPr>
  </w:style>
  <w:style w:type="character" w:customStyle="1" w:styleId="Char0">
    <w:name w:val="页眉 Char"/>
    <w:basedOn w:val="a0"/>
    <w:link w:val="a4"/>
    <w:rsid w:val="006321C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321C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6321C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905</Characters>
  <Application>Microsoft Office Word</Application>
  <DocSecurity>0</DocSecurity>
  <Lines>7</Lines>
  <Paragraphs>2</Paragraphs>
  <ScaleCrop>false</ScaleCrop>
  <Company>china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2018-08-14T01:07:00Z</cp:lastPrinted>
  <dcterms:created xsi:type="dcterms:W3CDTF">2018-08-30T08:11:00Z</dcterms:created>
  <dcterms:modified xsi:type="dcterms:W3CDTF">2018-11-07T02:16:00Z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