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0A" w:rsidRDefault="00CA5EE3" w:rsidP="003A00FC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高内科实验室</w:t>
      </w:r>
      <w:r w:rsidR="00573572">
        <w:rPr>
          <w:rFonts w:ascii="黑体" w:eastAsia="黑体" w:hAnsi="宋体" w:hint="eastAsia"/>
          <w:b/>
          <w:sz w:val="36"/>
          <w:szCs w:val="36"/>
        </w:rPr>
        <w:t>“</w:t>
      </w:r>
      <w:bookmarkStart w:id="0" w:name="_GoBack"/>
      <w:r w:rsidR="00573572">
        <w:rPr>
          <w:rFonts w:ascii="宋体" w:hAnsi="宋体" w:hint="eastAsia"/>
          <w:b/>
          <w:bCs/>
          <w:sz w:val="36"/>
          <w:szCs w:val="36"/>
        </w:rPr>
        <w:t>小鼠独立通气笼具</w:t>
      </w:r>
      <w:bookmarkEnd w:id="0"/>
      <w:r w:rsidR="00573572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A4630A">
        <w:trPr>
          <w:trHeight w:val="464"/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用于实验室饲养SPF级小鼠，能实现实验动物生存空间的严格微生物控制，能够防止不同笼盒间交叉感染</w:t>
            </w:r>
          </w:p>
        </w:tc>
      </w:tr>
      <w:tr w:rsidR="00A4630A">
        <w:trPr>
          <w:trHeight w:val="464"/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2E05FC" w:rsidP="002E05F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安装在清洁级独立的封闭房间，面积约12平米左右。</w:t>
            </w:r>
          </w:p>
        </w:tc>
      </w:tr>
      <w:tr w:rsidR="00A4630A">
        <w:trPr>
          <w:trHeight w:val="464"/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</w:t>
            </w:r>
            <w:r>
              <w:rPr>
                <w:sz w:val="24"/>
                <w:szCs w:val="24"/>
              </w:rPr>
              <w:t xml:space="preserve">: </w:t>
            </w:r>
            <w:r w:rsidR="007612E3"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7612E3"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/>
                <w:sz w:val="24"/>
                <w:szCs w:val="24"/>
              </w:rPr>
              <w:t>℃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湿度</w:t>
            </w:r>
            <w:r>
              <w:rPr>
                <w:sz w:val="24"/>
                <w:szCs w:val="24"/>
              </w:rPr>
              <w:t>:</w:t>
            </w:r>
            <w:r w:rsidR="007612E3">
              <w:rPr>
                <w:rFonts w:hint="eastAsia"/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7612E3">
              <w:rPr>
                <w:rFonts w:hint="eastAsia"/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%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进水水源：一般城市自来水，</w:t>
            </w:r>
            <w:r>
              <w:rPr>
                <w:rFonts w:ascii="宋体" w:hAnsi="宋体" w:cs="宋体" w:hint="eastAsia"/>
                <w:sz w:val="24"/>
                <w:szCs w:val="24"/>
              </w:rPr>
              <w:t>进水TDS&lt;200的水源</w:t>
            </w:r>
            <w:r>
              <w:rPr>
                <w:rFonts w:ascii="宋体" w:hAnsi="宋体" w:hint="eastAsia"/>
                <w:sz w:val="24"/>
                <w:szCs w:val="24"/>
              </w:rPr>
              <w:t>，水压0.1～0.4MPa，水温5-35</w:t>
            </w:r>
            <w:r>
              <w:rPr>
                <w:rFonts w:ascii="宋体" w:hAnsi="宋体"/>
                <w:sz w:val="24"/>
                <w:szCs w:val="24"/>
              </w:rPr>
              <w:t>℃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工作电源</w:t>
            </w:r>
            <w:r>
              <w:rPr>
                <w:rFonts w:hAnsi="宋体"/>
                <w:sz w:val="24"/>
                <w:szCs w:val="24"/>
              </w:rPr>
              <w:t>:</w:t>
            </w:r>
            <w:r>
              <w:rPr>
                <w:rFonts w:hAnsi="宋体" w:hint="eastAsia"/>
                <w:sz w:val="24"/>
                <w:szCs w:val="24"/>
              </w:rPr>
              <w:t xml:space="preserve"> 220</w:t>
            </w:r>
            <w:r>
              <w:rPr>
                <w:rFonts w:hAnsi="宋体"/>
                <w:sz w:val="24"/>
                <w:szCs w:val="24"/>
              </w:rPr>
              <w:t>V/50HZ</w:t>
            </w:r>
            <w:r>
              <w:rPr>
                <w:rFonts w:hAnsi="宋体" w:hint="eastAsia"/>
                <w:sz w:val="24"/>
                <w:szCs w:val="24"/>
              </w:rPr>
              <w:t>，</w:t>
            </w:r>
            <w:r>
              <w:rPr>
                <w:rFonts w:hAnsi="宋体" w:hint="eastAsia"/>
                <w:sz w:val="24"/>
                <w:szCs w:val="24"/>
              </w:rPr>
              <w:t>1000W</w:t>
            </w:r>
            <w:r>
              <w:rPr>
                <w:rFonts w:hAnsi="宋体" w:hint="eastAsia"/>
                <w:sz w:val="24"/>
                <w:szCs w:val="24"/>
              </w:rPr>
              <w:t>。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</w:p>
        </w:tc>
      </w:tr>
      <w:tr w:rsidR="00A4630A">
        <w:trPr>
          <w:jc w:val="center"/>
        </w:trPr>
        <w:tc>
          <w:tcPr>
            <w:tcW w:w="9668" w:type="dxa"/>
            <w:gridSpan w:val="3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A4630A">
        <w:trPr>
          <w:trHeight w:val="449"/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A4630A">
        <w:trPr>
          <w:trHeight w:val="3595"/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spacing w:line="320" w:lineRule="exact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小鼠独立通气笼具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一机两架，智能型主机，共112笼位，笼盒按笼位数的1.5倍配置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★2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净化级别达百级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3、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主机外形尺寸：440×400×1740（㎜）。</w:t>
            </w:r>
            <w:r>
              <w:rPr>
                <w:rFonts w:ascii="宋体" w:eastAsia="宋体" w:hAnsi="宋体" w:cs="宋体" w:hint="eastAsia"/>
                <w:spacing w:val="11"/>
                <w:kern w:val="0"/>
                <w:sz w:val="24"/>
                <w:szCs w:val="21"/>
              </w:rPr>
              <w:t>主机需至少提供初、高效两级过滤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bCs/>
                <w:spacing w:val="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4、笼盒尺寸：332×210×200（㎜），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笼底面积≥490cm²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bCs/>
                <w:spacing w:val="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▲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5、笼架尺寸：1980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×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×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1850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（㎜），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笼架主体为304不锈钢，笼架需全焊接保证，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1"/>
              </w:rPr>
              <w:t>笼架上的进、排气口需有硅胶的瓣膜式通气座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autoSpaceDN w:val="0"/>
              <w:jc w:val="left"/>
              <w:rPr>
                <w:rFonts w:ascii="宋体" w:eastAsia="宋体" w:hAnsi="宋体" w:cs="宋体"/>
                <w:bCs/>
                <w:spacing w:val="1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★6、笼盒性能：PEI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材质,笼盒内的进、排风口需有“5吋”椭圆柱形终端过滤器，过滤效率≥99.99%，保证笼盒内的空气在普通环境中检测达到“百级”。笼盒搭扣为304不锈钢材质。水瓶容积≥300CC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jc w:val="left"/>
              <w:rPr>
                <w:rFonts w:asciiTheme="minorEastAsia" w:eastAsia="宋体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▲7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主机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控制系统：</w:t>
            </w:r>
            <w:r>
              <w:rPr>
                <w:rFonts w:ascii="宋体" w:eastAsia="宋体" w:hAnsi="宋体" w:cs="宋体" w:hint="eastAsia"/>
                <w:bCs/>
                <w:spacing w:val="11"/>
                <w:sz w:val="24"/>
                <w:szCs w:val="24"/>
              </w:rPr>
              <w:t>彩色液晶显示屏、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智能型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微处理器控制，</w:t>
            </w:r>
            <w:r>
              <w:rPr>
                <w:rFonts w:ascii="宋体" w:eastAsia="宋体" w:hAnsi="宋体" w:cs="宋体" w:hint="eastAsia"/>
                <w:bCs/>
                <w:spacing w:val="11"/>
                <w:sz w:val="24"/>
                <w:szCs w:val="24"/>
              </w:rPr>
              <w:t>触摸屏式操作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，中文操作界面；可自动检测气流速率</w:t>
            </w:r>
            <w:r>
              <w:rPr>
                <w:rFonts w:ascii="宋体" w:eastAsia="宋体" w:hAnsi="宋体" w:cs="宋体" w:hint="eastAsia"/>
                <w:bCs/>
                <w:spacing w:val="11"/>
                <w:sz w:val="24"/>
                <w:szCs w:val="24"/>
              </w:rPr>
              <w:t>，可监控盒内的换气次数、内外压差及显示盒内的温湿度。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换气次数、压差、</w:t>
            </w:r>
            <w:r>
              <w:rPr>
                <w:rFonts w:ascii="宋体" w:eastAsia="宋体" w:hAnsi="宋体" w:cs="宋体" w:hint="eastAsia"/>
                <w:spacing w:val="11"/>
                <w:kern w:val="0"/>
                <w:sz w:val="24"/>
                <w:szCs w:val="21"/>
              </w:rPr>
              <w:t>温湿度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等</w:t>
            </w:r>
            <w:r>
              <w:rPr>
                <w:rFonts w:ascii="宋体" w:eastAsia="宋体" w:hAnsi="宋体" w:cs="宋体" w:hint="eastAsia"/>
                <w:bCs/>
                <w:spacing w:val="11"/>
                <w:sz w:val="24"/>
                <w:szCs w:val="24"/>
              </w:rPr>
              <w:t>报警。</w:t>
            </w:r>
          </w:p>
        </w:tc>
      </w:tr>
      <w:tr w:rsidR="00A4630A">
        <w:trPr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IVC专用超净工作台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1、双人单面操作；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2、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洁净等级：ISO5级 （100级）；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3、外形尺寸：≤1500×750×1850mm；工作区尺寸：≥1350×600×700mm；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4、★产品风机系统包括两台进风风机和一台排风风机，风速可调，垂直送风；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▲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产品顶部设排风口，连接管道可将废气部分排出室外；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6、有钢化玻璃移动门，板厚≥5mm，透明度高，移动门可轻松升降，任意位置定位；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7、工作区台面应采用304不锈钢拉丝板，板厚≥1.0mm，工作区内设回风口；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★8、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产品工作区内设动物饮用水加水器，可直接连接实验动物专用饮水机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9、风速≥0.3m/s（可调），菌落数≤0.5个/皿•时，噪 声≤62dB(A)，振动半峰值≤3um。</w:t>
            </w:r>
          </w:p>
        </w:tc>
      </w:tr>
      <w:tr w:rsidR="00A4630A">
        <w:trPr>
          <w:jc w:val="center"/>
        </w:trPr>
        <w:tc>
          <w:tcPr>
            <w:tcW w:w="2360" w:type="dxa"/>
            <w:vAlign w:val="center"/>
          </w:tcPr>
          <w:p w:rsidR="00A4630A" w:rsidRDefault="00573572">
            <w:pPr>
              <w:spacing w:line="320" w:lineRule="exact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lastRenderedPageBreak/>
              <w:t>实验动物饮水机</w:t>
            </w:r>
          </w:p>
        </w:tc>
        <w:tc>
          <w:tcPr>
            <w:tcW w:w="7308" w:type="dxa"/>
            <w:gridSpan w:val="2"/>
            <w:vAlign w:val="center"/>
          </w:tcPr>
          <w:p w:rsidR="00A4630A" w:rsidRDefault="00573572">
            <w:pPr>
              <w:pStyle w:val="UP"/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、产水速度：</w:t>
            </w:r>
            <w:r>
              <w:rPr>
                <w:rStyle w:val="UP3CharChar"/>
                <w:rFonts w:ascii="宋体" w:eastAsia="宋体" w:hAnsi="宋体" w:hint="eastAsia"/>
                <w:color w:val="000000"/>
                <w:sz w:val="24"/>
                <w:szCs w:val="24"/>
              </w:rPr>
              <w:t>≥40升/小时（水温25℃时）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2、取水速度：1.5-2.0</w:t>
            </w:r>
            <w:r>
              <w:rPr>
                <w:rStyle w:val="UP3CharChar"/>
                <w:rFonts w:ascii="宋体" w:eastAsia="宋体" w:hAnsi="宋体" w:hint="eastAsia"/>
                <w:color w:val="000000"/>
                <w:sz w:val="24"/>
                <w:szCs w:val="24"/>
              </w:rPr>
              <w:t>L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/min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3、出水水质：脱盐率≥98%，颗粒(0.22μm)&lt;1个/ml、微生物&lt;1cfu/1000ml， 重金属&lt;0.01ppm,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细菌去除率≥99.9%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4、全电脑全自动控制、自动冲洗、制水、储水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自动反渗透膜过滤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纯水水质显示和超标报警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7、独有的内部漏水检测保护提醒功能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A4630A" w:rsidRDefault="00573572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★8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  <w:szCs w:val="24"/>
              </w:rPr>
              <w:t>终端</w:t>
            </w:r>
            <w:r>
              <w:rPr>
                <w:rFonts w:hAnsi="宋体" w:hint="eastAsia"/>
                <w:sz w:val="24"/>
                <w:szCs w:val="24"/>
              </w:rPr>
              <w:t>254nm</w:t>
            </w:r>
            <w:r>
              <w:rPr>
                <w:rFonts w:hAnsi="宋体" w:hint="eastAsia"/>
                <w:sz w:val="24"/>
                <w:szCs w:val="24"/>
              </w:rPr>
              <w:t>紫外灭菌和</w:t>
            </w:r>
            <w:r>
              <w:rPr>
                <w:rFonts w:hAnsi="宋体" w:hint="eastAsia"/>
                <w:sz w:val="24"/>
                <w:szCs w:val="24"/>
              </w:rPr>
              <w:t>0.1um</w:t>
            </w:r>
            <w:r>
              <w:rPr>
                <w:rFonts w:hAnsi="宋体" w:hint="eastAsia"/>
                <w:sz w:val="24"/>
                <w:szCs w:val="24"/>
              </w:rPr>
              <w:t>除菌超滤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A4630A" w:rsidRDefault="00573572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9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  <w:szCs w:val="24"/>
              </w:rPr>
              <w:t>11G</w:t>
            </w:r>
            <w:r>
              <w:rPr>
                <w:rFonts w:hAnsi="宋体" w:hint="eastAsia"/>
                <w:sz w:val="24"/>
                <w:szCs w:val="24"/>
              </w:rPr>
              <w:t>压力罐</w:t>
            </w:r>
          </w:p>
        </w:tc>
      </w:tr>
      <w:tr w:rsidR="003A00FC">
        <w:trPr>
          <w:jc w:val="center"/>
        </w:trPr>
        <w:tc>
          <w:tcPr>
            <w:tcW w:w="2360" w:type="dxa"/>
            <w:vAlign w:val="center"/>
          </w:tcPr>
          <w:p w:rsidR="003A00FC" w:rsidRDefault="003A00FC">
            <w:pPr>
              <w:spacing w:line="320" w:lineRule="exact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备用电源</w:t>
            </w:r>
          </w:p>
        </w:tc>
        <w:tc>
          <w:tcPr>
            <w:tcW w:w="7308" w:type="dxa"/>
            <w:gridSpan w:val="2"/>
            <w:vAlign w:val="center"/>
          </w:tcPr>
          <w:p w:rsidR="003A00FC" w:rsidRDefault="003A00FC">
            <w:pPr>
              <w:pStyle w:val="UP"/>
              <w:spacing w:line="240" w:lineRule="auto"/>
              <w:ind w:leftChars="0" w:left="0" w:firstLineChars="0" w:firstLine="0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A4630A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A4630A">
        <w:trPr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1、IVC智能型主机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1台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2、IVC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56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笼架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2架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3、IVC笼盒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168付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不锈钢网格168个，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168个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饮水瓶168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168个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5吋</w:t>
            </w:r>
            <w:r>
              <w:rPr>
                <w:rFonts w:ascii="宋体" w:eastAsia="宋体" w:hAnsi="宋体" w:cs="宋体" w:hint="eastAsia"/>
                <w:bCs/>
                <w:spacing w:val="11"/>
                <w:kern w:val="0"/>
                <w:sz w:val="24"/>
                <w:szCs w:val="24"/>
              </w:rPr>
              <w:t>椭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圆柱型终端过滤器336个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336个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7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不锈钢搭扣336个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336个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IVC专用超净工作台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1台</w:t>
            </w:r>
          </w:p>
        </w:tc>
      </w:tr>
      <w:tr w:rsidR="00A4630A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9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实验动物饮水机</w:t>
            </w:r>
          </w:p>
        </w:tc>
        <w:tc>
          <w:tcPr>
            <w:tcW w:w="2201" w:type="dxa"/>
            <w:vAlign w:val="center"/>
          </w:tcPr>
          <w:p w:rsidR="00A4630A" w:rsidRDefault="00573572">
            <w:pPr>
              <w:spacing w:line="480" w:lineRule="auto"/>
              <w:jc w:val="left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1台</w:t>
            </w:r>
          </w:p>
        </w:tc>
      </w:tr>
      <w:tr w:rsidR="003A00F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A00FC" w:rsidRDefault="003A00FC">
            <w:pPr>
              <w:spacing w:line="480" w:lineRule="auto"/>
              <w:jc w:val="left"/>
              <w:rPr>
                <w:rFonts w:ascii="宋体" w:eastAsia="宋体" w:hAnsi="宋体" w:cs="宋体" w:hint="eastAsia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10、备用电源</w:t>
            </w:r>
          </w:p>
        </w:tc>
        <w:tc>
          <w:tcPr>
            <w:tcW w:w="2201" w:type="dxa"/>
            <w:vAlign w:val="center"/>
          </w:tcPr>
          <w:p w:rsidR="003A00FC" w:rsidRDefault="003A00FC">
            <w:pPr>
              <w:spacing w:line="480" w:lineRule="auto"/>
              <w:jc w:val="left"/>
              <w:rPr>
                <w:rFonts w:ascii="宋体" w:eastAsia="宋体" w:hAnsi="宋体" w:cs="宋体" w:hint="eastAsia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1台</w:t>
            </w:r>
          </w:p>
        </w:tc>
      </w:tr>
      <w:tr w:rsidR="00A4630A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A4630A" w:rsidRDefault="00573572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A4630A" w:rsidRDefault="00573572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A4630A" w:rsidRDefault="00573572" w:rsidP="003A00FC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3A00FC" w:rsidRDefault="00573572" w:rsidP="003A00FC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</w:t>
      </w:r>
      <w:r w:rsidR="003A00FC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3A00FC" w:rsidRDefault="003A00FC" w:rsidP="003A00FC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A4630A" w:rsidRDefault="00A4630A" w:rsidP="003A00FC">
      <w:pPr>
        <w:spacing w:line="300" w:lineRule="auto"/>
        <w:rPr>
          <w:b/>
        </w:rPr>
      </w:pPr>
    </w:p>
    <w:sectPr w:rsidR="00A4630A" w:rsidSect="00E3635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95" w:rsidRDefault="00A52995" w:rsidP="00CA5EE3">
      <w:r>
        <w:separator/>
      </w:r>
    </w:p>
  </w:endnote>
  <w:endnote w:type="continuationSeparator" w:id="0">
    <w:p w:rsidR="00A52995" w:rsidRDefault="00A52995" w:rsidP="00CA5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95" w:rsidRDefault="00A52995" w:rsidP="00CA5EE3">
      <w:r>
        <w:separator/>
      </w:r>
    </w:p>
  </w:footnote>
  <w:footnote w:type="continuationSeparator" w:id="0">
    <w:p w:rsidR="00A52995" w:rsidRDefault="00A52995" w:rsidP="00CA5E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0A797A"/>
    <w:rsid w:val="00115EEC"/>
    <w:rsid w:val="00122041"/>
    <w:rsid w:val="00162540"/>
    <w:rsid w:val="001C3E92"/>
    <w:rsid w:val="00236AE6"/>
    <w:rsid w:val="002E05FC"/>
    <w:rsid w:val="0032255F"/>
    <w:rsid w:val="00371340"/>
    <w:rsid w:val="003A00FC"/>
    <w:rsid w:val="0046625D"/>
    <w:rsid w:val="004B2C8F"/>
    <w:rsid w:val="00530E0C"/>
    <w:rsid w:val="00572F07"/>
    <w:rsid w:val="00573572"/>
    <w:rsid w:val="005D0783"/>
    <w:rsid w:val="00607BE9"/>
    <w:rsid w:val="00607E7A"/>
    <w:rsid w:val="006B2EBE"/>
    <w:rsid w:val="007612E3"/>
    <w:rsid w:val="0076253C"/>
    <w:rsid w:val="00783D50"/>
    <w:rsid w:val="00792A95"/>
    <w:rsid w:val="007F0031"/>
    <w:rsid w:val="00923802"/>
    <w:rsid w:val="009335AA"/>
    <w:rsid w:val="00A4630A"/>
    <w:rsid w:val="00A52995"/>
    <w:rsid w:val="00C90807"/>
    <w:rsid w:val="00CA5EE3"/>
    <w:rsid w:val="00CA6C8F"/>
    <w:rsid w:val="00CD006F"/>
    <w:rsid w:val="00D47CFF"/>
    <w:rsid w:val="00D53425"/>
    <w:rsid w:val="00E16B86"/>
    <w:rsid w:val="00E16B8C"/>
    <w:rsid w:val="00E3635B"/>
    <w:rsid w:val="00E66334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18060A3"/>
    <w:rsid w:val="43D00E62"/>
    <w:rsid w:val="43E50094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4C46AA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35B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36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36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3635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E3635B"/>
    <w:rPr>
      <w:b/>
    </w:rPr>
  </w:style>
  <w:style w:type="character" w:customStyle="1" w:styleId="Char0">
    <w:name w:val="页眉 Char"/>
    <w:basedOn w:val="a0"/>
    <w:link w:val="a4"/>
    <w:rsid w:val="00E3635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3635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E3635B"/>
    <w:pPr>
      <w:ind w:firstLineChars="200" w:firstLine="420"/>
    </w:pPr>
  </w:style>
  <w:style w:type="paragraph" w:customStyle="1" w:styleId="UP">
    <w:name w:val="UP正文"/>
    <w:basedOn w:val="a"/>
    <w:qFormat/>
    <w:rsid w:val="00E3635B"/>
    <w:pPr>
      <w:spacing w:line="360" w:lineRule="auto"/>
      <w:ind w:leftChars="200" w:left="420" w:firstLineChars="200" w:firstLine="420"/>
    </w:pPr>
    <w:rPr>
      <w:rFonts w:ascii="Tahoma"/>
    </w:rPr>
  </w:style>
  <w:style w:type="character" w:customStyle="1" w:styleId="UP3CharChar">
    <w:name w:val="UP标题3 Char Char"/>
    <w:link w:val="UP3"/>
    <w:qFormat/>
    <w:rsid w:val="00E3635B"/>
    <w:rPr>
      <w:rFonts w:ascii="黑体" w:eastAsia="黑体" w:cs="宋体"/>
      <w:kern w:val="2"/>
      <w:sz w:val="28"/>
      <w:szCs w:val="28"/>
    </w:rPr>
  </w:style>
  <w:style w:type="paragraph" w:customStyle="1" w:styleId="UP3">
    <w:name w:val="UP标题3"/>
    <w:basedOn w:val="a"/>
    <w:link w:val="UP3CharChar"/>
    <w:qFormat/>
    <w:rsid w:val="00E3635B"/>
    <w:pPr>
      <w:spacing w:line="360" w:lineRule="auto"/>
      <w:ind w:firstLineChars="149" w:firstLine="149"/>
    </w:pPr>
    <w:rPr>
      <w:rFonts w:ascii="黑体" w:eastAsia="黑体" w:cs="宋体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UP">
    <w:name w:val="UP正文"/>
    <w:basedOn w:val="a"/>
    <w:qFormat/>
    <w:pPr>
      <w:spacing w:line="360" w:lineRule="auto"/>
      <w:ind w:leftChars="200" w:left="420" w:firstLineChars="200" w:firstLine="420"/>
    </w:pPr>
    <w:rPr>
      <w:rFonts w:ascii="Tahoma"/>
    </w:rPr>
  </w:style>
  <w:style w:type="character" w:customStyle="1" w:styleId="UP3CharChar">
    <w:name w:val="UP标题3 Char Char"/>
    <w:link w:val="UP3"/>
    <w:qFormat/>
    <w:rPr>
      <w:rFonts w:ascii="黑体" w:eastAsia="黑体" w:cs="宋体"/>
      <w:kern w:val="2"/>
      <w:sz w:val="28"/>
      <w:szCs w:val="28"/>
    </w:rPr>
  </w:style>
  <w:style w:type="paragraph" w:customStyle="1" w:styleId="UP3">
    <w:name w:val="UP标题3"/>
    <w:basedOn w:val="a"/>
    <w:link w:val="UP3CharChar"/>
    <w:qFormat/>
    <w:pPr>
      <w:spacing w:line="360" w:lineRule="auto"/>
      <w:ind w:firstLineChars="149" w:firstLine="149"/>
    </w:pPr>
    <w:rPr>
      <w:rFonts w:ascii="黑体" w:eastAsia="黑体" w:cs="宋体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</Words>
  <Characters>1301</Characters>
  <Application>Microsoft Office Word</Application>
  <DocSecurity>0</DocSecurity>
  <Lines>10</Lines>
  <Paragraphs>3</Paragraphs>
  <ScaleCrop>false</ScaleCrop>
  <Company>china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2018-08-14T01:07:00Z</cp:lastPrinted>
  <dcterms:created xsi:type="dcterms:W3CDTF">2018-10-18T07:04:00Z</dcterms:created>
  <dcterms:modified xsi:type="dcterms:W3CDTF">2018-11-07T02:08:00Z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