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AD1" w:rsidRDefault="0089074F">
      <w:pPr>
        <w:spacing w:afterLines="50" w:after="156"/>
        <w:jc w:val="center"/>
        <w:rPr>
          <w:rFonts w:ascii="黑体" w:eastAsia="黑体" w:hAnsi="宋体"/>
          <w:b/>
          <w:sz w:val="36"/>
          <w:szCs w:val="36"/>
        </w:rPr>
      </w:pPr>
      <w:r w:rsidRPr="0089074F">
        <w:rPr>
          <w:rFonts w:ascii="黑体" w:eastAsia="黑体" w:hAnsi="宋体" w:hint="eastAsia"/>
          <w:b/>
          <w:sz w:val="36"/>
          <w:szCs w:val="36"/>
        </w:rPr>
        <w:t>检验科“亮氨酸氨基转肽酶（LAP）检测”</w:t>
      </w:r>
      <w:r>
        <w:rPr>
          <w:rFonts w:ascii="黑体" w:eastAsia="黑体" w:hAnsi="宋体" w:hint="eastAsia"/>
          <w:b/>
          <w:sz w:val="36"/>
          <w:szCs w:val="36"/>
        </w:rPr>
        <w:t>招标需求表</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0"/>
        <w:gridCol w:w="5107"/>
        <w:gridCol w:w="2201"/>
      </w:tblGrid>
      <w:tr w:rsidR="006C4AD1">
        <w:trPr>
          <w:trHeight w:val="464"/>
          <w:jc w:val="center"/>
        </w:trPr>
        <w:tc>
          <w:tcPr>
            <w:tcW w:w="2360" w:type="dxa"/>
            <w:vAlign w:val="center"/>
          </w:tcPr>
          <w:p w:rsidR="006C4AD1" w:rsidRDefault="0089074F">
            <w:pPr>
              <w:jc w:val="center"/>
              <w:rPr>
                <w:rFonts w:asciiTheme="minorEastAsia" w:hAnsiTheme="minorEastAsia" w:cs="华文中宋"/>
                <w:b/>
                <w:bCs/>
                <w:szCs w:val="28"/>
              </w:rPr>
            </w:pPr>
            <w:r>
              <w:rPr>
                <w:rFonts w:asciiTheme="minorEastAsia" w:hAnsiTheme="minorEastAsia" w:cs="华文中宋" w:hint="eastAsia"/>
                <w:b/>
                <w:bCs/>
                <w:szCs w:val="28"/>
              </w:rPr>
              <w:t>产品主要用途</w:t>
            </w:r>
          </w:p>
        </w:tc>
        <w:tc>
          <w:tcPr>
            <w:tcW w:w="7308" w:type="dxa"/>
            <w:gridSpan w:val="2"/>
            <w:vAlign w:val="center"/>
          </w:tcPr>
          <w:p w:rsidR="006C4AD1" w:rsidRPr="0089074F" w:rsidRDefault="0089074F" w:rsidP="0089074F">
            <w:pPr>
              <w:spacing w:line="400" w:lineRule="exact"/>
              <w:jc w:val="left"/>
              <w:rPr>
                <w:rFonts w:ascii="Times New Roman" w:eastAsia="华文中宋" w:hAnsi="Times New Roman" w:cs="Times New Roman"/>
                <w:bCs/>
                <w:sz w:val="24"/>
                <w:szCs w:val="24"/>
              </w:rPr>
            </w:pPr>
            <w:r w:rsidRPr="0089074F">
              <w:rPr>
                <w:rFonts w:ascii="Times New Roman" w:hAnsi="Times New Roman" w:cs="Times New Roman"/>
                <w:bCs/>
                <w:sz w:val="24"/>
                <w:szCs w:val="24"/>
              </w:rPr>
              <w:t>血清亮氨酸氨基转肽酶广泛存在于人体各种组织中，以肝、胰、胆最丰富，临床上测定血清亮氨酸氨基转肽酶主要对肝胆疾病的诊断与治疗的评价有较大意义，胆管癌、胰腺癌、或者胆结石等引起肝外性阻塞、药物性肝损害、病毒性肝炎、肝内胆汁瘀滞、急性肝炎、无黄疸的肝转移癌等。开展该项目用于监测肝胆疾病的诊疗。</w:t>
            </w:r>
          </w:p>
        </w:tc>
      </w:tr>
      <w:tr w:rsidR="006C4AD1">
        <w:trPr>
          <w:trHeight w:val="464"/>
          <w:jc w:val="center"/>
        </w:trPr>
        <w:tc>
          <w:tcPr>
            <w:tcW w:w="2360" w:type="dxa"/>
            <w:vAlign w:val="center"/>
          </w:tcPr>
          <w:p w:rsidR="006C4AD1" w:rsidRDefault="0089074F">
            <w:pPr>
              <w:jc w:val="center"/>
              <w:rPr>
                <w:rFonts w:asciiTheme="minorEastAsia" w:hAnsiTheme="minorEastAsia" w:cs="华文中宋"/>
                <w:b/>
                <w:bCs/>
                <w:szCs w:val="28"/>
              </w:rPr>
            </w:pPr>
            <w:r>
              <w:rPr>
                <w:rFonts w:asciiTheme="minorEastAsia" w:hAnsiTheme="minorEastAsia" w:cs="华文中宋" w:hint="eastAsia"/>
                <w:b/>
                <w:bCs/>
                <w:szCs w:val="28"/>
              </w:rPr>
              <w:t>安装场地</w:t>
            </w:r>
          </w:p>
        </w:tc>
        <w:tc>
          <w:tcPr>
            <w:tcW w:w="7308" w:type="dxa"/>
            <w:gridSpan w:val="2"/>
            <w:vAlign w:val="center"/>
          </w:tcPr>
          <w:p w:rsidR="006C4AD1" w:rsidRPr="0089074F" w:rsidRDefault="0003276F" w:rsidP="0089074F">
            <w:pPr>
              <w:spacing w:line="400" w:lineRule="exact"/>
              <w:rPr>
                <w:rFonts w:ascii="Times New Roman" w:hAnsi="Times New Roman" w:cs="Times New Roman"/>
                <w:sz w:val="24"/>
                <w:szCs w:val="24"/>
                <w:highlight w:val="yellow"/>
              </w:rPr>
            </w:pPr>
            <w:r w:rsidRPr="0089074F">
              <w:rPr>
                <w:rFonts w:ascii="Times New Roman" w:hAnsi="Times New Roman" w:cs="Times New Roman"/>
                <w:bCs/>
                <w:sz w:val="24"/>
                <w:szCs w:val="24"/>
              </w:rPr>
              <w:t>适用于检验科已有的生化分析仪：贝克曼</w:t>
            </w:r>
            <w:r w:rsidRPr="0089074F">
              <w:rPr>
                <w:rFonts w:ascii="Times New Roman" w:hAnsi="Times New Roman" w:cs="Times New Roman"/>
                <w:bCs/>
                <w:sz w:val="24"/>
                <w:szCs w:val="24"/>
              </w:rPr>
              <w:t>AU5800</w:t>
            </w:r>
            <w:r w:rsidRPr="0089074F">
              <w:rPr>
                <w:rFonts w:ascii="Times New Roman" w:hAnsi="Times New Roman" w:cs="Times New Roman"/>
                <w:bCs/>
                <w:sz w:val="24"/>
                <w:szCs w:val="24"/>
              </w:rPr>
              <w:t>，或者，贝克曼</w:t>
            </w:r>
            <w:r w:rsidRPr="0089074F">
              <w:rPr>
                <w:rFonts w:ascii="Times New Roman" w:hAnsi="Times New Roman" w:cs="Times New Roman"/>
                <w:bCs/>
                <w:sz w:val="24"/>
                <w:szCs w:val="24"/>
              </w:rPr>
              <w:t>c800</w:t>
            </w:r>
            <w:r>
              <w:rPr>
                <w:rFonts w:ascii="Times New Roman" w:hAnsi="Times New Roman" w:cs="Times New Roman" w:hint="eastAsia"/>
                <w:bCs/>
                <w:sz w:val="24"/>
                <w:szCs w:val="24"/>
              </w:rPr>
              <w:t>。</w:t>
            </w:r>
          </w:p>
        </w:tc>
      </w:tr>
      <w:tr w:rsidR="0089074F">
        <w:trPr>
          <w:trHeight w:val="464"/>
          <w:jc w:val="center"/>
        </w:trPr>
        <w:tc>
          <w:tcPr>
            <w:tcW w:w="2360" w:type="dxa"/>
            <w:vAlign w:val="center"/>
          </w:tcPr>
          <w:p w:rsidR="0089074F" w:rsidRDefault="0089074F" w:rsidP="0089074F">
            <w:pPr>
              <w:jc w:val="center"/>
              <w:rPr>
                <w:rFonts w:asciiTheme="minorEastAsia" w:hAnsiTheme="minorEastAsia" w:cs="华文中宋"/>
                <w:b/>
                <w:bCs/>
                <w:szCs w:val="28"/>
              </w:rPr>
            </w:pPr>
            <w:r>
              <w:rPr>
                <w:rFonts w:asciiTheme="minorEastAsia" w:hAnsiTheme="minorEastAsia" w:cs="华文中宋" w:hint="eastAsia"/>
                <w:b/>
                <w:bCs/>
                <w:szCs w:val="28"/>
              </w:rPr>
              <w:t>使用环境</w:t>
            </w:r>
          </w:p>
        </w:tc>
        <w:tc>
          <w:tcPr>
            <w:tcW w:w="7308" w:type="dxa"/>
            <w:gridSpan w:val="2"/>
            <w:vAlign w:val="center"/>
          </w:tcPr>
          <w:p w:rsidR="0089074F" w:rsidRPr="0003276F" w:rsidRDefault="0089074F" w:rsidP="0089074F">
            <w:pPr>
              <w:spacing w:line="400" w:lineRule="exact"/>
              <w:rPr>
                <w:rFonts w:ascii="Times New Roman" w:hAnsi="Times New Roman" w:cs="Times New Roman" w:hint="eastAsia"/>
                <w:sz w:val="24"/>
                <w:szCs w:val="24"/>
              </w:rPr>
            </w:pPr>
            <w:r w:rsidRPr="0089074F">
              <w:rPr>
                <w:rFonts w:ascii="Times New Roman" w:hAnsi="Times New Roman" w:cs="Times New Roman"/>
                <w:sz w:val="24"/>
                <w:szCs w:val="24"/>
              </w:rPr>
              <w:t>试剂储存于</w:t>
            </w:r>
            <w:r w:rsidRPr="0089074F">
              <w:rPr>
                <w:rFonts w:ascii="Times New Roman" w:hAnsi="Times New Roman" w:cs="Times New Roman"/>
                <w:sz w:val="24"/>
                <w:szCs w:val="24"/>
              </w:rPr>
              <w:t>2~8</w:t>
            </w:r>
            <w:r w:rsidRPr="0089074F">
              <w:rPr>
                <w:rFonts w:ascii="宋体" w:eastAsia="宋体" w:hAnsi="宋体" w:cs="宋体" w:hint="eastAsia"/>
                <w:sz w:val="24"/>
                <w:szCs w:val="24"/>
              </w:rPr>
              <w:t>℃</w:t>
            </w:r>
            <w:r w:rsidR="001B52E8">
              <w:rPr>
                <w:rFonts w:ascii="Times New Roman" w:hAnsi="Times New Roman" w:cs="Times New Roman"/>
                <w:sz w:val="24"/>
                <w:szCs w:val="24"/>
              </w:rPr>
              <w:t>环境</w:t>
            </w:r>
            <w:r w:rsidR="001B52E8">
              <w:rPr>
                <w:rFonts w:ascii="Times New Roman" w:hAnsi="Times New Roman" w:cs="Times New Roman" w:hint="eastAsia"/>
                <w:sz w:val="24"/>
                <w:szCs w:val="24"/>
              </w:rPr>
              <w:t>。</w:t>
            </w:r>
            <w:bookmarkStart w:id="0" w:name="_GoBack"/>
            <w:bookmarkEnd w:id="0"/>
          </w:p>
        </w:tc>
      </w:tr>
      <w:tr w:rsidR="006C4AD1">
        <w:trPr>
          <w:jc w:val="center"/>
        </w:trPr>
        <w:tc>
          <w:tcPr>
            <w:tcW w:w="9668" w:type="dxa"/>
            <w:gridSpan w:val="3"/>
            <w:vAlign w:val="center"/>
          </w:tcPr>
          <w:p w:rsidR="006C4AD1" w:rsidRDefault="0089074F">
            <w:pPr>
              <w:jc w:val="center"/>
              <w:rPr>
                <w:rFonts w:asciiTheme="minorEastAsia" w:hAnsiTheme="minorEastAsia"/>
                <w:b/>
                <w:sz w:val="32"/>
                <w:szCs w:val="32"/>
              </w:rPr>
            </w:pPr>
            <w:r>
              <w:rPr>
                <w:rFonts w:asciiTheme="minorEastAsia" w:hAnsiTheme="minorEastAsia" w:cs="华文中宋" w:hint="eastAsia"/>
                <w:b/>
                <w:bCs/>
                <w:szCs w:val="28"/>
              </w:rPr>
              <w:t>技术参数要求</w:t>
            </w:r>
          </w:p>
        </w:tc>
      </w:tr>
      <w:tr w:rsidR="006C4AD1">
        <w:trPr>
          <w:trHeight w:val="449"/>
          <w:jc w:val="center"/>
        </w:trPr>
        <w:tc>
          <w:tcPr>
            <w:tcW w:w="2360" w:type="dxa"/>
            <w:vAlign w:val="center"/>
          </w:tcPr>
          <w:p w:rsidR="006C4AD1" w:rsidRDefault="0089074F">
            <w:pPr>
              <w:jc w:val="center"/>
              <w:rPr>
                <w:rFonts w:asciiTheme="minorEastAsia" w:hAnsiTheme="minorEastAsia" w:cs="华文中宋"/>
                <w:b/>
                <w:bCs/>
                <w:szCs w:val="28"/>
              </w:rPr>
            </w:pPr>
            <w:r>
              <w:rPr>
                <w:rFonts w:asciiTheme="minorEastAsia" w:hAnsiTheme="minorEastAsia" w:cs="华文中宋" w:hint="eastAsia"/>
                <w:b/>
                <w:bCs/>
                <w:szCs w:val="28"/>
              </w:rPr>
              <w:t>主要配置名称</w:t>
            </w:r>
          </w:p>
        </w:tc>
        <w:tc>
          <w:tcPr>
            <w:tcW w:w="7308" w:type="dxa"/>
            <w:gridSpan w:val="2"/>
            <w:vAlign w:val="center"/>
          </w:tcPr>
          <w:p w:rsidR="006C4AD1" w:rsidRDefault="0089074F">
            <w:pPr>
              <w:jc w:val="center"/>
              <w:rPr>
                <w:rFonts w:asciiTheme="minorEastAsia" w:hAnsiTheme="minorEastAsia" w:cs="华文中宋"/>
                <w:b/>
                <w:bCs/>
                <w:szCs w:val="28"/>
              </w:rPr>
            </w:pPr>
            <w:r>
              <w:rPr>
                <w:rFonts w:asciiTheme="minorEastAsia" w:hAnsiTheme="minorEastAsia" w:cs="华文中宋" w:hint="eastAsia"/>
                <w:b/>
                <w:bCs/>
                <w:szCs w:val="28"/>
              </w:rPr>
              <w:t>具体性能与参数要求</w:t>
            </w:r>
          </w:p>
        </w:tc>
      </w:tr>
      <w:tr w:rsidR="006C4AD1" w:rsidTr="0089074F">
        <w:trPr>
          <w:trHeight w:val="6991"/>
          <w:jc w:val="center"/>
        </w:trPr>
        <w:tc>
          <w:tcPr>
            <w:tcW w:w="2360" w:type="dxa"/>
            <w:vAlign w:val="center"/>
          </w:tcPr>
          <w:p w:rsidR="006C4AD1" w:rsidRDefault="0089074F">
            <w:pPr>
              <w:spacing w:line="320" w:lineRule="exact"/>
              <w:jc w:val="center"/>
              <w:rPr>
                <w:rFonts w:asciiTheme="minorEastAsia" w:hAnsiTheme="minorEastAsia" w:cs="华文中宋"/>
                <w:b/>
                <w:bCs/>
                <w:szCs w:val="28"/>
              </w:rPr>
            </w:pPr>
            <w:r w:rsidRPr="0089074F">
              <w:rPr>
                <w:rFonts w:asciiTheme="minorEastAsia" w:hAnsiTheme="minorEastAsia" w:cs="华文中宋" w:hint="eastAsia"/>
                <w:b/>
                <w:bCs/>
                <w:szCs w:val="28"/>
              </w:rPr>
              <w:t>亮氨酸氨基转肽酶（LAP）检测</w:t>
            </w:r>
          </w:p>
        </w:tc>
        <w:tc>
          <w:tcPr>
            <w:tcW w:w="7308" w:type="dxa"/>
            <w:gridSpan w:val="2"/>
            <w:vAlign w:val="center"/>
          </w:tcPr>
          <w:p w:rsidR="0089074F" w:rsidRPr="0089074F" w:rsidRDefault="0089074F" w:rsidP="0089074F">
            <w:pPr>
              <w:spacing w:line="400" w:lineRule="exact"/>
              <w:jc w:val="left"/>
              <w:rPr>
                <w:rFonts w:ascii="Times New Roman" w:hAnsi="Times New Roman" w:cs="Times New Roman"/>
                <w:bCs/>
                <w:sz w:val="24"/>
                <w:szCs w:val="24"/>
              </w:rPr>
            </w:pPr>
            <w:r w:rsidRPr="0089074F">
              <w:rPr>
                <w:rFonts w:ascii="Segoe UI Symbol" w:hAnsi="Segoe UI Symbol" w:cs="Segoe UI Symbol"/>
                <w:sz w:val="24"/>
                <w:szCs w:val="24"/>
              </w:rPr>
              <w:t>★</w:t>
            </w:r>
            <w:r w:rsidRPr="0089074F">
              <w:rPr>
                <w:rFonts w:ascii="Times New Roman" w:hAnsi="Times New Roman" w:cs="Times New Roman"/>
                <w:bCs/>
                <w:sz w:val="24"/>
                <w:szCs w:val="24"/>
              </w:rPr>
              <w:t>1</w:t>
            </w:r>
            <w:r w:rsidRPr="0089074F">
              <w:rPr>
                <w:rFonts w:ascii="Times New Roman" w:hAnsi="Times New Roman" w:cs="Times New Roman"/>
                <w:bCs/>
                <w:sz w:val="24"/>
                <w:szCs w:val="24"/>
              </w:rPr>
              <w:t>、检测方法：底物显色法或速率法。</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Segoe UI Symbol" w:hAnsi="Segoe UI Symbol" w:cs="Segoe UI Symbol"/>
                <w:sz w:val="24"/>
                <w:szCs w:val="24"/>
              </w:rPr>
              <w:t>★</w:t>
            </w:r>
            <w:r w:rsidRPr="0089074F">
              <w:rPr>
                <w:rFonts w:ascii="Times New Roman" w:hAnsi="Times New Roman" w:cs="Times New Roman"/>
                <w:bCs/>
                <w:sz w:val="24"/>
                <w:szCs w:val="24"/>
              </w:rPr>
              <w:t>2</w:t>
            </w:r>
            <w:r w:rsidRPr="0089074F">
              <w:rPr>
                <w:rFonts w:ascii="Times New Roman" w:hAnsi="Times New Roman" w:cs="Times New Roman"/>
                <w:bCs/>
                <w:sz w:val="24"/>
                <w:szCs w:val="24"/>
              </w:rPr>
              <w:t>、适用仪器：适用于贝克曼</w:t>
            </w:r>
            <w:r w:rsidRPr="0089074F">
              <w:rPr>
                <w:rFonts w:ascii="Times New Roman" w:hAnsi="Times New Roman" w:cs="Times New Roman"/>
                <w:bCs/>
                <w:sz w:val="24"/>
                <w:szCs w:val="24"/>
              </w:rPr>
              <w:t>AU5800</w:t>
            </w:r>
            <w:r w:rsidRPr="0089074F">
              <w:rPr>
                <w:rFonts w:ascii="Times New Roman" w:hAnsi="Times New Roman" w:cs="Times New Roman"/>
                <w:bCs/>
                <w:sz w:val="24"/>
                <w:szCs w:val="24"/>
              </w:rPr>
              <w:t>，或者，贝克曼</w:t>
            </w:r>
            <w:r w:rsidRPr="0089074F">
              <w:rPr>
                <w:rFonts w:ascii="Times New Roman" w:hAnsi="Times New Roman" w:cs="Times New Roman"/>
                <w:bCs/>
                <w:sz w:val="24"/>
                <w:szCs w:val="24"/>
              </w:rPr>
              <w:t>DXc800</w:t>
            </w:r>
            <w:r w:rsidRPr="0089074F">
              <w:rPr>
                <w:rFonts w:ascii="Times New Roman" w:hAnsi="Times New Roman" w:cs="Times New Roman"/>
                <w:bCs/>
                <w:sz w:val="24"/>
                <w:szCs w:val="24"/>
              </w:rPr>
              <w:t>。</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3</w:t>
            </w:r>
            <w:r w:rsidRPr="0089074F">
              <w:rPr>
                <w:rFonts w:ascii="Times New Roman" w:hAnsi="Times New Roman" w:cs="Times New Roman"/>
                <w:sz w:val="24"/>
                <w:szCs w:val="24"/>
              </w:rPr>
              <w:t>、</w:t>
            </w:r>
            <w:r w:rsidRPr="0089074F">
              <w:rPr>
                <w:rFonts w:ascii="Times New Roman" w:hAnsi="Times New Roman" w:cs="Times New Roman"/>
                <w:bCs/>
                <w:sz w:val="24"/>
                <w:szCs w:val="24"/>
              </w:rPr>
              <w:t>适用样本类型：非溶血性血清或血浆，血浆包括柠檬酸钠、肝素制备的血浆。</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w:t>
            </w:r>
            <w:r w:rsidRPr="0089074F">
              <w:rPr>
                <w:rFonts w:ascii="Times New Roman" w:eastAsia="楷体_GB2312" w:hAnsi="Times New Roman" w:cs="Times New Roman"/>
                <w:sz w:val="24"/>
                <w:szCs w:val="24"/>
              </w:rPr>
              <w:t>4</w:t>
            </w:r>
            <w:r w:rsidRPr="0089074F">
              <w:rPr>
                <w:rFonts w:ascii="Times New Roman" w:eastAsia="楷体_GB2312" w:hAnsi="Times New Roman" w:cs="Times New Roman"/>
                <w:sz w:val="24"/>
                <w:szCs w:val="24"/>
              </w:rPr>
              <w:t>、</w:t>
            </w:r>
            <w:r w:rsidRPr="0089074F">
              <w:rPr>
                <w:rFonts w:ascii="Times New Roman" w:hAnsi="Times New Roman" w:cs="Times New Roman"/>
                <w:bCs/>
                <w:sz w:val="24"/>
                <w:szCs w:val="24"/>
              </w:rPr>
              <w:t>试剂空白吸光度及其变化率：试剂空白吸光度</w:t>
            </w:r>
            <w:r w:rsidRPr="0089074F">
              <w:rPr>
                <w:rFonts w:ascii="Times New Roman" w:hAnsi="Times New Roman" w:cs="Times New Roman"/>
                <w:bCs/>
                <w:sz w:val="24"/>
                <w:szCs w:val="24"/>
              </w:rPr>
              <w:t>(</w:t>
            </w:r>
            <w:r w:rsidRPr="0089074F">
              <w:rPr>
                <w:rFonts w:ascii="Times New Roman" w:hAnsi="Times New Roman" w:cs="Times New Roman"/>
                <w:bCs/>
                <w:i/>
                <w:sz w:val="24"/>
                <w:szCs w:val="24"/>
              </w:rPr>
              <w:t>A</w:t>
            </w:r>
            <w:r w:rsidRPr="0089074F">
              <w:rPr>
                <w:rFonts w:ascii="Times New Roman" w:hAnsi="Times New Roman" w:cs="Times New Roman"/>
                <w:bCs/>
                <w:sz w:val="24"/>
                <w:szCs w:val="24"/>
              </w:rPr>
              <w:t xml:space="preserve">) </w:t>
            </w:r>
            <w:r w:rsidRPr="0089074F">
              <w:rPr>
                <w:rFonts w:ascii="Times New Roman" w:hAnsi="Times New Roman" w:cs="Times New Roman"/>
                <w:bCs/>
                <w:sz w:val="24"/>
                <w:szCs w:val="24"/>
              </w:rPr>
              <w:sym w:font="Symbol" w:char="F0A3"/>
            </w:r>
            <w:r w:rsidRPr="0089074F">
              <w:rPr>
                <w:rFonts w:ascii="Times New Roman" w:hAnsi="Times New Roman" w:cs="Times New Roman"/>
                <w:bCs/>
                <w:sz w:val="24"/>
                <w:szCs w:val="24"/>
              </w:rPr>
              <w:t>1.000</w:t>
            </w:r>
            <w:r w:rsidRPr="0089074F">
              <w:rPr>
                <w:rFonts w:ascii="Times New Roman" w:hAnsi="Times New Roman" w:cs="Times New Roman"/>
                <w:bCs/>
                <w:sz w:val="24"/>
                <w:szCs w:val="24"/>
              </w:rPr>
              <w:t>，试剂空白吸光度变化率</w:t>
            </w:r>
            <w:r w:rsidRPr="0089074F">
              <w:rPr>
                <w:rFonts w:ascii="Times New Roman" w:hAnsi="Times New Roman" w:cs="Times New Roman"/>
                <w:bCs/>
                <w:sz w:val="24"/>
                <w:szCs w:val="24"/>
              </w:rPr>
              <w:t>(</w:t>
            </w:r>
            <w:r w:rsidRPr="0089074F">
              <w:rPr>
                <w:rFonts w:ascii="Times New Roman" w:hAnsi="Times New Roman" w:cs="Times New Roman"/>
                <w:bCs/>
                <w:sz w:val="24"/>
                <w:szCs w:val="24"/>
              </w:rPr>
              <w:sym w:font="Symbol" w:char="F044"/>
            </w:r>
            <w:r w:rsidRPr="0089074F">
              <w:rPr>
                <w:rFonts w:ascii="Times New Roman" w:hAnsi="Times New Roman" w:cs="Times New Roman"/>
                <w:bCs/>
                <w:i/>
                <w:sz w:val="24"/>
                <w:szCs w:val="24"/>
              </w:rPr>
              <w:t>A</w:t>
            </w:r>
            <w:r w:rsidRPr="0089074F">
              <w:rPr>
                <w:rFonts w:ascii="Times New Roman" w:hAnsi="Times New Roman" w:cs="Times New Roman"/>
                <w:bCs/>
                <w:sz w:val="24"/>
                <w:szCs w:val="24"/>
              </w:rPr>
              <w:t xml:space="preserve">/min) </w:t>
            </w:r>
            <w:r w:rsidRPr="0089074F">
              <w:rPr>
                <w:rFonts w:ascii="Times New Roman" w:hAnsi="Times New Roman" w:cs="Times New Roman"/>
                <w:bCs/>
                <w:sz w:val="24"/>
                <w:szCs w:val="24"/>
              </w:rPr>
              <w:sym w:font="Symbol" w:char="F0A3"/>
            </w:r>
            <w:r w:rsidRPr="0089074F">
              <w:rPr>
                <w:rFonts w:ascii="Times New Roman" w:hAnsi="Times New Roman" w:cs="Times New Roman"/>
                <w:bCs/>
                <w:sz w:val="24"/>
                <w:szCs w:val="24"/>
              </w:rPr>
              <w:t xml:space="preserve"> 0.020</w:t>
            </w:r>
            <w:r w:rsidRPr="0089074F">
              <w:rPr>
                <w:rFonts w:ascii="Times New Roman" w:hAnsi="Times New Roman" w:cs="Times New Roman"/>
                <w:bCs/>
                <w:sz w:val="24"/>
                <w:szCs w:val="24"/>
              </w:rPr>
              <w:t>。</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5</w:t>
            </w:r>
            <w:r w:rsidRPr="0089074F">
              <w:rPr>
                <w:rFonts w:ascii="Times New Roman" w:hAnsi="Times New Roman" w:cs="Times New Roman"/>
                <w:sz w:val="24"/>
                <w:szCs w:val="24"/>
              </w:rPr>
              <w:t>、</w:t>
            </w:r>
            <w:r w:rsidRPr="0089074F">
              <w:rPr>
                <w:rFonts w:ascii="Times New Roman" w:hAnsi="Times New Roman" w:cs="Times New Roman"/>
                <w:bCs/>
                <w:sz w:val="24"/>
                <w:szCs w:val="24"/>
              </w:rPr>
              <w:t>分析灵敏度：当样品浓度是</w:t>
            </w:r>
            <w:r w:rsidRPr="0089074F">
              <w:rPr>
                <w:rFonts w:ascii="Times New Roman" w:hAnsi="Times New Roman" w:cs="Times New Roman"/>
                <w:bCs/>
                <w:sz w:val="24"/>
                <w:szCs w:val="24"/>
              </w:rPr>
              <w:t>35U/L</w:t>
            </w:r>
            <w:r w:rsidRPr="0089074F">
              <w:rPr>
                <w:rFonts w:ascii="Times New Roman" w:hAnsi="Times New Roman" w:cs="Times New Roman"/>
                <w:bCs/>
                <w:sz w:val="24"/>
                <w:szCs w:val="24"/>
              </w:rPr>
              <w:t>时，试剂吸光度值变化率</w:t>
            </w:r>
            <w:r w:rsidRPr="0089074F">
              <w:rPr>
                <w:rFonts w:ascii="Times New Roman" w:hAnsi="Times New Roman" w:cs="Times New Roman"/>
                <w:bCs/>
                <w:sz w:val="24"/>
                <w:szCs w:val="24"/>
              </w:rPr>
              <w:t>(</w:t>
            </w:r>
            <w:r w:rsidRPr="0089074F">
              <w:rPr>
                <w:rFonts w:ascii="Times New Roman" w:hAnsi="Times New Roman" w:cs="Times New Roman"/>
                <w:bCs/>
                <w:i/>
                <w:sz w:val="24"/>
                <w:szCs w:val="24"/>
              </w:rPr>
              <w:sym w:font="Symbol" w:char="F044"/>
            </w:r>
            <w:r w:rsidRPr="0089074F">
              <w:rPr>
                <w:rFonts w:ascii="Times New Roman" w:hAnsi="Times New Roman" w:cs="Times New Roman"/>
                <w:bCs/>
                <w:sz w:val="24"/>
                <w:szCs w:val="24"/>
              </w:rPr>
              <w:t xml:space="preserve">A/min) </w:t>
            </w:r>
            <w:r w:rsidRPr="0089074F">
              <w:rPr>
                <w:rFonts w:ascii="Times New Roman" w:hAnsi="Times New Roman" w:cs="Times New Roman"/>
                <w:bCs/>
                <w:sz w:val="24"/>
                <w:szCs w:val="24"/>
              </w:rPr>
              <w:sym w:font="Symbol" w:char="F0B3"/>
            </w:r>
            <w:r w:rsidRPr="0089074F">
              <w:rPr>
                <w:rFonts w:ascii="Times New Roman" w:hAnsi="Times New Roman" w:cs="Times New Roman"/>
                <w:bCs/>
                <w:sz w:val="24"/>
                <w:szCs w:val="24"/>
              </w:rPr>
              <w:t xml:space="preserve"> 0.003</w:t>
            </w:r>
            <w:r w:rsidRPr="0089074F">
              <w:rPr>
                <w:rFonts w:ascii="Times New Roman" w:hAnsi="Times New Roman" w:cs="Times New Roman"/>
                <w:bCs/>
                <w:sz w:val="24"/>
                <w:szCs w:val="24"/>
              </w:rPr>
              <w:t>；或者，当样品浓度是</w:t>
            </w:r>
            <w:r w:rsidRPr="0089074F">
              <w:rPr>
                <w:rFonts w:ascii="Times New Roman" w:hAnsi="Times New Roman" w:cs="Times New Roman"/>
                <w:bCs/>
                <w:sz w:val="24"/>
                <w:szCs w:val="24"/>
              </w:rPr>
              <w:t>100 U/L</w:t>
            </w:r>
            <w:r w:rsidRPr="0089074F">
              <w:rPr>
                <w:rFonts w:ascii="Times New Roman" w:hAnsi="Times New Roman" w:cs="Times New Roman"/>
                <w:bCs/>
                <w:sz w:val="24"/>
                <w:szCs w:val="24"/>
              </w:rPr>
              <w:t>时，试剂吸光度值变化率</w:t>
            </w:r>
            <w:r w:rsidRPr="0089074F">
              <w:rPr>
                <w:rFonts w:ascii="Times New Roman" w:hAnsi="Times New Roman" w:cs="Times New Roman"/>
                <w:bCs/>
                <w:sz w:val="24"/>
                <w:szCs w:val="24"/>
              </w:rPr>
              <w:t>(</w:t>
            </w:r>
            <w:r w:rsidRPr="0089074F">
              <w:rPr>
                <w:rFonts w:ascii="Times New Roman" w:hAnsi="Times New Roman" w:cs="Times New Roman"/>
                <w:bCs/>
                <w:i/>
                <w:sz w:val="24"/>
                <w:szCs w:val="24"/>
              </w:rPr>
              <w:sym w:font="Symbol" w:char="F044"/>
            </w:r>
            <w:r w:rsidRPr="0089074F">
              <w:rPr>
                <w:rFonts w:ascii="Times New Roman" w:hAnsi="Times New Roman" w:cs="Times New Roman"/>
                <w:bCs/>
                <w:sz w:val="24"/>
                <w:szCs w:val="24"/>
              </w:rPr>
              <w:t>A/min)</w:t>
            </w:r>
            <w:r w:rsidRPr="0089074F">
              <w:rPr>
                <w:rFonts w:ascii="Times New Roman" w:hAnsi="Times New Roman" w:cs="Times New Roman"/>
                <w:bCs/>
                <w:sz w:val="24"/>
                <w:szCs w:val="24"/>
              </w:rPr>
              <w:t>介于</w:t>
            </w:r>
            <w:r w:rsidRPr="0089074F">
              <w:rPr>
                <w:rFonts w:ascii="Times New Roman" w:hAnsi="Times New Roman" w:cs="Times New Roman"/>
                <w:bCs/>
                <w:sz w:val="24"/>
                <w:szCs w:val="24"/>
              </w:rPr>
              <w:t>0.004~0.085</w:t>
            </w:r>
            <w:r w:rsidRPr="0089074F">
              <w:rPr>
                <w:rFonts w:ascii="Times New Roman" w:hAnsi="Times New Roman" w:cs="Times New Roman"/>
                <w:bCs/>
                <w:sz w:val="24"/>
                <w:szCs w:val="24"/>
              </w:rPr>
              <w:t>。</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w:t>
            </w:r>
            <w:r w:rsidRPr="0089074F">
              <w:rPr>
                <w:rFonts w:ascii="Times New Roman" w:hAnsi="Times New Roman" w:cs="Times New Roman"/>
                <w:bCs/>
                <w:sz w:val="24"/>
                <w:szCs w:val="24"/>
              </w:rPr>
              <w:t>6</w:t>
            </w:r>
            <w:r w:rsidRPr="0089074F">
              <w:rPr>
                <w:rFonts w:ascii="Times New Roman" w:hAnsi="Times New Roman" w:cs="Times New Roman"/>
                <w:bCs/>
                <w:sz w:val="24"/>
                <w:szCs w:val="24"/>
              </w:rPr>
              <w:t>、线性范围：</w:t>
            </w:r>
            <w:r w:rsidRPr="0089074F">
              <w:rPr>
                <w:rFonts w:ascii="Times New Roman" w:hAnsi="Times New Roman" w:cs="Times New Roman"/>
                <w:bCs/>
                <w:sz w:val="24"/>
                <w:szCs w:val="24"/>
              </w:rPr>
              <w:t>3.0~1000 U/L</w:t>
            </w:r>
            <w:r w:rsidRPr="0089074F">
              <w:rPr>
                <w:rFonts w:ascii="Times New Roman" w:hAnsi="Times New Roman" w:cs="Times New Roman"/>
                <w:bCs/>
                <w:sz w:val="24"/>
                <w:szCs w:val="24"/>
              </w:rPr>
              <w:t>，线性相关系数</w:t>
            </w:r>
            <w:r w:rsidRPr="0089074F">
              <w:rPr>
                <w:rFonts w:ascii="Times New Roman" w:hAnsi="Times New Roman" w:cs="Times New Roman"/>
                <w:bCs/>
                <w:sz w:val="24"/>
                <w:szCs w:val="24"/>
              </w:rPr>
              <w:t xml:space="preserve">(r) </w:t>
            </w:r>
            <w:r w:rsidRPr="0089074F">
              <w:rPr>
                <w:rFonts w:ascii="Times New Roman" w:hAnsi="Times New Roman" w:cs="Times New Roman"/>
                <w:bCs/>
                <w:sz w:val="24"/>
                <w:szCs w:val="24"/>
              </w:rPr>
              <w:sym w:font="Symbol" w:char="F0B3"/>
            </w:r>
            <w:r w:rsidRPr="0089074F">
              <w:rPr>
                <w:rFonts w:ascii="Times New Roman" w:hAnsi="Times New Roman" w:cs="Times New Roman"/>
                <w:bCs/>
                <w:sz w:val="24"/>
                <w:szCs w:val="24"/>
              </w:rPr>
              <w:t xml:space="preserve"> 0.990</w:t>
            </w:r>
            <w:r w:rsidRPr="0089074F">
              <w:rPr>
                <w:rFonts w:ascii="Times New Roman" w:hAnsi="Times New Roman" w:cs="Times New Roman"/>
                <w:bCs/>
                <w:sz w:val="24"/>
                <w:szCs w:val="24"/>
              </w:rPr>
              <w:t>；</w:t>
            </w:r>
            <w:r w:rsidRPr="0089074F">
              <w:rPr>
                <w:rFonts w:ascii="Times New Roman" w:hAnsi="Times New Roman" w:cs="Times New Roman"/>
                <w:bCs/>
                <w:sz w:val="24"/>
                <w:szCs w:val="24"/>
              </w:rPr>
              <w:t>3.0~50 U/L</w:t>
            </w:r>
            <w:r w:rsidRPr="0089074F">
              <w:rPr>
                <w:rFonts w:ascii="Times New Roman" w:hAnsi="Times New Roman" w:cs="Times New Roman"/>
                <w:bCs/>
                <w:sz w:val="24"/>
                <w:szCs w:val="24"/>
              </w:rPr>
              <w:t>范围内，线性绝对偏差不超过</w:t>
            </w:r>
            <w:r w:rsidRPr="0089074F">
              <w:rPr>
                <w:rFonts w:ascii="Times New Roman" w:hAnsi="Times New Roman" w:cs="Times New Roman"/>
                <w:bCs/>
                <w:sz w:val="24"/>
                <w:szCs w:val="24"/>
              </w:rPr>
              <w:sym w:font="Symbol" w:char="F0B1"/>
            </w:r>
            <w:r w:rsidRPr="0089074F">
              <w:rPr>
                <w:rFonts w:ascii="Times New Roman" w:hAnsi="Times New Roman" w:cs="Times New Roman"/>
                <w:bCs/>
                <w:sz w:val="24"/>
                <w:szCs w:val="24"/>
              </w:rPr>
              <w:t>10 U/L</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Segoe UI Symbol" w:hAnsi="Segoe UI Symbol" w:cs="Segoe UI Symbol"/>
                <w:sz w:val="24"/>
                <w:szCs w:val="24"/>
              </w:rPr>
              <w:t>★</w:t>
            </w:r>
            <w:r w:rsidRPr="0089074F">
              <w:rPr>
                <w:rFonts w:ascii="Times New Roman" w:hAnsi="Times New Roman" w:cs="Times New Roman"/>
                <w:sz w:val="24"/>
                <w:szCs w:val="24"/>
              </w:rPr>
              <w:t>7</w:t>
            </w:r>
            <w:r w:rsidRPr="0089074F">
              <w:rPr>
                <w:rFonts w:ascii="Times New Roman" w:hAnsi="Times New Roman" w:cs="Times New Roman"/>
                <w:bCs/>
                <w:sz w:val="24"/>
                <w:szCs w:val="24"/>
              </w:rPr>
              <w:t>、精密度：重复测定高、中、低浓度样本，</w:t>
            </w:r>
            <w:r w:rsidRPr="0089074F">
              <w:rPr>
                <w:rFonts w:ascii="Times New Roman" w:hAnsi="Times New Roman" w:cs="Times New Roman"/>
                <w:bCs/>
                <w:sz w:val="24"/>
                <w:szCs w:val="24"/>
              </w:rPr>
              <w:t xml:space="preserve">CV </w:t>
            </w:r>
            <w:r w:rsidRPr="0089074F">
              <w:rPr>
                <w:rFonts w:ascii="Times New Roman" w:hAnsi="Times New Roman" w:cs="Times New Roman"/>
                <w:bCs/>
                <w:sz w:val="24"/>
                <w:szCs w:val="24"/>
              </w:rPr>
              <w:sym w:font="Symbol" w:char="F0A3"/>
            </w:r>
            <w:r w:rsidRPr="0089074F">
              <w:rPr>
                <w:rFonts w:ascii="Times New Roman" w:hAnsi="Times New Roman" w:cs="Times New Roman"/>
                <w:bCs/>
                <w:sz w:val="24"/>
                <w:szCs w:val="24"/>
              </w:rPr>
              <w:t xml:space="preserve"> 10%</w:t>
            </w:r>
            <w:r w:rsidRPr="0089074F">
              <w:rPr>
                <w:rFonts w:ascii="Times New Roman" w:hAnsi="Times New Roman" w:cs="Times New Roman"/>
                <w:bCs/>
                <w:sz w:val="24"/>
                <w:szCs w:val="24"/>
              </w:rPr>
              <w:t>。</w:t>
            </w:r>
          </w:p>
          <w:p w:rsidR="0089074F" w:rsidRPr="0089074F" w:rsidRDefault="0089074F" w:rsidP="0089074F">
            <w:pPr>
              <w:spacing w:line="400" w:lineRule="exact"/>
              <w:rPr>
                <w:rFonts w:ascii="Times New Roman" w:hAnsi="Times New Roman" w:cs="Times New Roman"/>
                <w:bCs/>
                <w:sz w:val="24"/>
                <w:szCs w:val="24"/>
              </w:rPr>
            </w:pPr>
            <w:r w:rsidRPr="0089074F">
              <w:rPr>
                <w:rFonts w:ascii="Times New Roman" w:hAnsi="Times New Roman" w:cs="Times New Roman"/>
                <w:bCs/>
                <w:sz w:val="24"/>
                <w:szCs w:val="24"/>
              </w:rPr>
              <w:t>8</w:t>
            </w:r>
            <w:r w:rsidRPr="0089074F">
              <w:rPr>
                <w:rFonts w:ascii="Times New Roman" w:hAnsi="Times New Roman" w:cs="Times New Roman"/>
                <w:bCs/>
                <w:sz w:val="24"/>
                <w:szCs w:val="24"/>
              </w:rPr>
              <w:t>、抗干扰能力：抗坏血酸对检测结果无影响。</w:t>
            </w:r>
          </w:p>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b/>
                <w:sz w:val="24"/>
                <w:szCs w:val="24"/>
              </w:rPr>
              <w:t>▲</w:t>
            </w:r>
            <w:r w:rsidRPr="0089074F">
              <w:rPr>
                <w:rFonts w:ascii="Times New Roman" w:hAnsi="Times New Roman" w:cs="Times New Roman"/>
                <w:bCs/>
                <w:sz w:val="24"/>
                <w:szCs w:val="24"/>
              </w:rPr>
              <w:t>9</w:t>
            </w:r>
            <w:r w:rsidRPr="0089074F">
              <w:rPr>
                <w:rFonts w:ascii="Times New Roman" w:hAnsi="Times New Roman" w:cs="Times New Roman"/>
                <w:bCs/>
                <w:sz w:val="24"/>
                <w:szCs w:val="24"/>
              </w:rPr>
              <w:t>、存储条件与有效期：未开封试剂盒在</w:t>
            </w:r>
            <w:r w:rsidRPr="0089074F">
              <w:rPr>
                <w:rFonts w:ascii="Times New Roman" w:hAnsi="Times New Roman" w:cs="Times New Roman"/>
                <w:bCs/>
                <w:sz w:val="24"/>
                <w:szCs w:val="24"/>
              </w:rPr>
              <w:t>2~8</w:t>
            </w:r>
            <w:r w:rsidRPr="0089074F">
              <w:rPr>
                <w:rFonts w:ascii="宋体" w:eastAsia="宋体" w:hAnsi="宋体" w:cs="宋体" w:hint="eastAsia"/>
                <w:bCs/>
                <w:sz w:val="24"/>
                <w:szCs w:val="24"/>
              </w:rPr>
              <w:t>℃</w:t>
            </w:r>
            <w:r w:rsidRPr="0089074F">
              <w:rPr>
                <w:rFonts w:ascii="Times New Roman" w:hAnsi="Times New Roman" w:cs="Times New Roman"/>
                <w:bCs/>
                <w:sz w:val="24"/>
                <w:szCs w:val="24"/>
              </w:rPr>
              <w:t>环境条件下有效期</w:t>
            </w:r>
            <w:r w:rsidRPr="0089074F">
              <w:rPr>
                <w:rFonts w:ascii="Times New Roman" w:hAnsi="Times New Roman" w:cs="Times New Roman"/>
                <w:bCs/>
                <w:sz w:val="24"/>
                <w:szCs w:val="24"/>
              </w:rPr>
              <w:sym w:font="Symbol" w:char="F0B3"/>
            </w:r>
            <w:r w:rsidRPr="0089074F">
              <w:rPr>
                <w:rFonts w:ascii="Times New Roman" w:hAnsi="Times New Roman" w:cs="Times New Roman"/>
                <w:bCs/>
                <w:sz w:val="24"/>
                <w:szCs w:val="24"/>
              </w:rPr>
              <w:t>10</w:t>
            </w:r>
            <w:r w:rsidRPr="0089074F">
              <w:rPr>
                <w:rFonts w:ascii="Times New Roman" w:hAnsi="Times New Roman" w:cs="Times New Roman"/>
                <w:bCs/>
                <w:sz w:val="24"/>
                <w:szCs w:val="24"/>
              </w:rPr>
              <w:t>个月；开封试剂盒在</w:t>
            </w:r>
            <w:r w:rsidRPr="0089074F">
              <w:rPr>
                <w:rFonts w:ascii="Times New Roman" w:hAnsi="Times New Roman" w:cs="Times New Roman"/>
                <w:bCs/>
                <w:sz w:val="24"/>
                <w:szCs w:val="24"/>
              </w:rPr>
              <w:t>2~8</w:t>
            </w:r>
            <w:r w:rsidRPr="0089074F">
              <w:rPr>
                <w:rFonts w:ascii="宋体" w:eastAsia="宋体" w:hAnsi="宋体" w:cs="宋体" w:hint="eastAsia"/>
                <w:bCs/>
                <w:sz w:val="24"/>
                <w:szCs w:val="24"/>
              </w:rPr>
              <w:t>℃</w:t>
            </w:r>
            <w:r w:rsidRPr="0089074F">
              <w:rPr>
                <w:rFonts w:ascii="Times New Roman" w:hAnsi="Times New Roman" w:cs="Times New Roman"/>
                <w:bCs/>
                <w:sz w:val="24"/>
                <w:szCs w:val="24"/>
              </w:rPr>
              <w:t>环境条件下有效</w:t>
            </w:r>
            <w:r w:rsidRPr="0089074F">
              <w:rPr>
                <w:rFonts w:ascii="Times New Roman" w:hAnsi="Times New Roman" w:cs="Times New Roman"/>
                <w:bCs/>
                <w:sz w:val="24"/>
                <w:szCs w:val="24"/>
              </w:rPr>
              <w:sym w:font="Symbol" w:char="F0B3"/>
            </w:r>
            <w:r w:rsidRPr="0089074F">
              <w:rPr>
                <w:rFonts w:ascii="Times New Roman" w:hAnsi="Times New Roman" w:cs="Times New Roman"/>
                <w:bCs/>
                <w:sz w:val="24"/>
                <w:szCs w:val="24"/>
              </w:rPr>
              <w:t>20</w:t>
            </w:r>
            <w:r w:rsidRPr="0089074F">
              <w:rPr>
                <w:rFonts w:ascii="Times New Roman" w:hAnsi="Times New Roman" w:cs="Times New Roman"/>
                <w:bCs/>
                <w:sz w:val="24"/>
                <w:szCs w:val="24"/>
              </w:rPr>
              <w:t>天。</w:t>
            </w:r>
          </w:p>
          <w:p w:rsidR="006C4AD1" w:rsidRDefault="0089074F" w:rsidP="0089074F">
            <w:pPr>
              <w:widowControl/>
              <w:spacing w:line="400" w:lineRule="exact"/>
              <w:jc w:val="left"/>
              <w:rPr>
                <w:rFonts w:asciiTheme="minorEastAsia" w:hAnsiTheme="minorEastAsia" w:cs="Arial"/>
                <w:color w:val="000000"/>
                <w:kern w:val="0"/>
                <w:sz w:val="24"/>
                <w:szCs w:val="24"/>
              </w:rPr>
            </w:pPr>
            <w:r w:rsidRPr="0089074F">
              <w:rPr>
                <w:rFonts w:ascii="Segoe UI Symbol" w:hAnsi="Segoe UI Symbol" w:cs="Segoe UI Symbol"/>
                <w:sz w:val="24"/>
                <w:szCs w:val="24"/>
              </w:rPr>
              <w:t>★</w:t>
            </w:r>
            <w:r w:rsidRPr="0089074F">
              <w:rPr>
                <w:rFonts w:ascii="Times New Roman" w:hAnsi="Times New Roman" w:cs="Times New Roman"/>
                <w:bCs/>
                <w:sz w:val="24"/>
                <w:szCs w:val="24"/>
              </w:rPr>
              <w:t>10</w:t>
            </w:r>
            <w:r w:rsidRPr="0089074F">
              <w:rPr>
                <w:rFonts w:ascii="Times New Roman" w:hAnsi="Times New Roman" w:cs="Times New Roman"/>
                <w:bCs/>
                <w:sz w:val="24"/>
                <w:szCs w:val="24"/>
              </w:rPr>
              <w:t>、提供配套的校准品、质控品</w:t>
            </w:r>
            <w:r w:rsidRPr="0089074F">
              <w:rPr>
                <w:rFonts w:ascii="Times New Roman" w:hAnsi="Times New Roman" w:cs="Times New Roman"/>
                <w:bCs/>
                <w:sz w:val="24"/>
                <w:szCs w:val="24"/>
              </w:rPr>
              <w:t>(</w:t>
            </w:r>
            <w:r w:rsidRPr="0089074F">
              <w:rPr>
                <w:rFonts w:ascii="Times New Roman" w:hAnsi="Times New Roman" w:cs="Times New Roman"/>
                <w:bCs/>
                <w:sz w:val="24"/>
                <w:szCs w:val="24"/>
              </w:rPr>
              <w:t>不少于</w:t>
            </w:r>
            <w:r w:rsidRPr="0089074F">
              <w:rPr>
                <w:rFonts w:ascii="Times New Roman" w:hAnsi="Times New Roman" w:cs="Times New Roman"/>
                <w:bCs/>
                <w:sz w:val="24"/>
                <w:szCs w:val="24"/>
              </w:rPr>
              <w:t>2</w:t>
            </w:r>
            <w:r w:rsidRPr="0089074F">
              <w:rPr>
                <w:rFonts w:ascii="Times New Roman" w:hAnsi="Times New Roman" w:cs="Times New Roman"/>
                <w:bCs/>
                <w:sz w:val="24"/>
                <w:szCs w:val="24"/>
              </w:rPr>
              <w:t>个水平</w:t>
            </w:r>
            <w:r w:rsidRPr="0089074F">
              <w:rPr>
                <w:rFonts w:ascii="Times New Roman" w:hAnsi="Times New Roman" w:cs="Times New Roman"/>
                <w:bCs/>
                <w:sz w:val="24"/>
                <w:szCs w:val="24"/>
              </w:rPr>
              <w:t>)</w:t>
            </w:r>
            <w:r w:rsidRPr="0089074F">
              <w:rPr>
                <w:rFonts w:ascii="Times New Roman" w:hAnsi="Times New Roman" w:cs="Times New Roman"/>
                <w:bCs/>
                <w:sz w:val="24"/>
                <w:szCs w:val="24"/>
              </w:rPr>
              <w:t>、定标液的品牌、规格与价格。</w:t>
            </w:r>
          </w:p>
        </w:tc>
      </w:tr>
      <w:tr w:rsidR="006C4AD1">
        <w:trPr>
          <w:trHeight w:val="374"/>
          <w:jc w:val="center"/>
        </w:trPr>
        <w:tc>
          <w:tcPr>
            <w:tcW w:w="7467" w:type="dxa"/>
            <w:gridSpan w:val="2"/>
            <w:vAlign w:val="center"/>
          </w:tcPr>
          <w:p w:rsidR="006C4AD1" w:rsidRDefault="0089074F">
            <w:pPr>
              <w:jc w:val="center"/>
              <w:rPr>
                <w:rFonts w:asciiTheme="minorEastAsia" w:hAnsiTheme="minorEastAsia" w:cs="华文中宋"/>
                <w:b/>
                <w:bCs/>
                <w:szCs w:val="28"/>
              </w:rPr>
            </w:pPr>
            <w:r>
              <w:rPr>
                <w:rFonts w:asciiTheme="minorEastAsia" w:hAnsiTheme="minorEastAsia" w:cs="华文中宋" w:hint="eastAsia"/>
                <w:b/>
                <w:bCs/>
                <w:szCs w:val="28"/>
              </w:rPr>
              <w:t>设备配置清单</w:t>
            </w:r>
          </w:p>
        </w:tc>
        <w:tc>
          <w:tcPr>
            <w:tcW w:w="2201" w:type="dxa"/>
            <w:vAlign w:val="center"/>
          </w:tcPr>
          <w:p w:rsidR="006C4AD1" w:rsidRDefault="0089074F">
            <w:pPr>
              <w:jc w:val="center"/>
              <w:rPr>
                <w:rFonts w:asciiTheme="minorEastAsia" w:hAnsiTheme="minorEastAsia" w:cs="华文中宋"/>
                <w:b/>
                <w:bCs/>
                <w:szCs w:val="28"/>
              </w:rPr>
            </w:pPr>
            <w:r>
              <w:rPr>
                <w:rFonts w:asciiTheme="minorEastAsia" w:hAnsiTheme="minorEastAsia" w:cs="华文中宋" w:hint="eastAsia"/>
                <w:b/>
                <w:bCs/>
                <w:szCs w:val="28"/>
              </w:rPr>
              <w:t>数量</w:t>
            </w:r>
          </w:p>
        </w:tc>
      </w:tr>
      <w:tr w:rsidR="0089074F">
        <w:trPr>
          <w:jc w:val="center"/>
        </w:trPr>
        <w:tc>
          <w:tcPr>
            <w:tcW w:w="7467" w:type="dxa"/>
            <w:gridSpan w:val="2"/>
            <w:vAlign w:val="center"/>
          </w:tcPr>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1</w:t>
            </w:r>
            <w:r w:rsidRPr="0089074F">
              <w:rPr>
                <w:rFonts w:ascii="Times New Roman" w:hAnsi="Times New Roman" w:cs="Times New Roman"/>
                <w:sz w:val="24"/>
                <w:szCs w:val="24"/>
              </w:rPr>
              <w:t>、亮氨酸氨基转肽酶检测试剂盒</w:t>
            </w:r>
          </w:p>
        </w:tc>
        <w:tc>
          <w:tcPr>
            <w:tcW w:w="2201" w:type="dxa"/>
            <w:vAlign w:val="center"/>
          </w:tcPr>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1</w:t>
            </w:r>
            <w:r w:rsidRPr="0089074F">
              <w:rPr>
                <w:rFonts w:ascii="Times New Roman" w:hAnsi="Times New Roman" w:cs="Times New Roman"/>
                <w:sz w:val="24"/>
                <w:szCs w:val="24"/>
              </w:rPr>
              <w:t>套</w:t>
            </w:r>
          </w:p>
        </w:tc>
      </w:tr>
      <w:tr w:rsidR="0089074F">
        <w:trPr>
          <w:trHeight w:val="440"/>
          <w:jc w:val="center"/>
        </w:trPr>
        <w:tc>
          <w:tcPr>
            <w:tcW w:w="7467" w:type="dxa"/>
            <w:gridSpan w:val="2"/>
            <w:vAlign w:val="center"/>
          </w:tcPr>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lastRenderedPageBreak/>
              <w:t>2</w:t>
            </w:r>
            <w:r w:rsidRPr="0089074F">
              <w:rPr>
                <w:rFonts w:ascii="Times New Roman" w:hAnsi="Times New Roman" w:cs="Times New Roman"/>
                <w:sz w:val="24"/>
                <w:szCs w:val="24"/>
              </w:rPr>
              <w:t>、校准品、质控品</w:t>
            </w:r>
          </w:p>
        </w:tc>
        <w:tc>
          <w:tcPr>
            <w:tcW w:w="2201" w:type="dxa"/>
            <w:vAlign w:val="center"/>
          </w:tcPr>
          <w:p w:rsidR="0089074F"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1</w:t>
            </w:r>
            <w:r w:rsidRPr="0089074F">
              <w:rPr>
                <w:rFonts w:ascii="Times New Roman" w:hAnsi="Times New Roman" w:cs="Times New Roman"/>
                <w:sz w:val="24"/>
                <w:szCs w:val="24"/>
              </w:rPr>
              <w:t>套</w:t>
            </w:r>
          </w:p>
        </w:tc>
      </w:tr>
      <w:tr w:rsidR="006C4AD1">
        <w:trPr>
          <w:trHeight w:val="440"/>
          <w:jc w:val="center"/>
        </w:trPr>
        <w:tc>
          <w:tcPr>
            <w:tcW w:w="7467" w:type="dxa"/>
            <w:gridSpan w:val="2"/>
            <w:vAlign w:val="center"/>
          </w:tcPr>
          <w:p w:rsidR="006C4AD1"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3</w:t>
            </w:r>
            <w:r w:rsidRPr="0089074F">
              <w:rPr>
                <w:rFonts w:ascii="Times New Roman" w:hAnsi="Times New Roman" w:cs="Times New Roman"/>
                <w:sz w:val="24"/>
                <w:szCs w:val="24"/>
              </w:rPr>
              <w:t>、定标液</w:t>
            </w:r>
          </w:p>
        </w:tc>
        <w:tc>
          <w:tcPr>
            <w:tcW w:w="2201" w:type="dxa"/>
            <w:vAlign w:val="center"/>
          </w:tcPr>
          <w:p w:rsidR="006C4AD1" w:rsidRPr="0089074F" w:rsidRDefault="0089074F" w:rsidP="0089074F">
            <w:pPr>
              <w:spacing w:line="400" w:lineRule="exact"/>
              <w:jc w:val="left"/>
              <w:rPr>
                <w:rFonts w:ascii="Times New Roman" w:hAnsi="Times New Roman" w:cs="Times New Roman"/>
                <w:sz w:val="24"/>
                <w:szCs w:val="24"/>
              </w:rPr>
            </w:pPr>
            <w:r w:rsidRPr="0089074F">
              <w:rPr>
                <w:rFonts w:ascii="Times New Roman" w:hAnsi="Times New Roman" w:cs="Times New Roman"/>
                <w:sz w:val="24"/>
                <w:szCs w:val="24"/>
              </w:rPr>
              <w:t>1</w:t>
            </w:r>
            <w:r w:rsidRPr="0089074F">
              <w:rPr>
                <w:rFonts w:ascii="Times New Roman" w:hAnsi="Times New Roman" w:cs="Times New Roman"/>
                <w:sz w:val="24"/>
                <w:szCs w:val="24"/>
              </w:rPr>
              <w:t>套</w:t>
            </w:r>
          </w:p>
        </w:tc>
      </w:tr>
      <w:tr w:rsidR="006C4AD1">
        <w:trPr>
          <w:trHeight w:val="1180"/>
          <w:jc w:val="center"/>
        </w:trPr>
        <w:tc>
          <w:tcPr>
            <w:tcW w:w="9668" w:type="dxa"/>
            <w:gridSpan w:val="3"/>
            <w:vAlign w:val="center"/>
          </w:tcPr>
          <w:p w:rsidR="006C4AD1" w:rsidRDefault="0089074F">
            <w:pPr>
              <w:rPr>
                <w:rFonts w:ascii="仿宋" w:eastAsia="仿宋" w:hAnsi="仿宋" w:cs="仿宋"/>
                <w:b/>
                <w:sz w:val="24"/>
                <w:szCs w:val="24"/>
              </w:rPr>
            </w:pPr>
            <w:r>
              <w:rPr>
                <w:rFonts w:ascii="仿宋" w:eastAsia="仿宋" w:hAnsi="仿宋" w:cs="仿宋" w:hint="eastAsia"/>
                <w:b/>
                <w:sz w:val="24"/>
                <w:szCs w:val="24"/>
              </w:rPr>
              <w:t xml:space="preserve">备注： 1、带“★”符号项目为必须满足指标，若出现一项负偏离，则视为废标      </w:t>
            </w:r>
          </w:p>
          <w:p w:rsidR="006C4AD1" w:rsidRDefault="0089074F">
            <w:pPr>
              <w:ind w:firstLineChars="350" w:firstLine="843"/>
              <w:rPr>
                <w:rFonts w:ascii="仿宋" w:eastAsia="仿宋" w:hAnsi="仿宋" w:cs="仿宋"/>
                <w:b/>
                <w:sz w:val="24"/>
                <w:szCs w:val="24"/>
              </w:rPr>
            </w:pPr>
            <w:r>
              <w:rPr>
                <w:rFonts w:ascii="仿宋" w:eastAsia="仿宋" w:hAnsi="仿宋" w:cs="仿宋" w:hint="eastAsia"/>
                <w:b/>
                <w:sz w:val="24"/>
                <w:szCs w:val="24"/>
              </w:rPr>
              <w:t>2、带“▲”符号项目为重要指标，若出现三项及以上负偏离，则视为废标</w:t>
            </w:r>
          </w:p>
          <w:p w:rsidR="006C4AD1" w:rsidRDefault="0089074F">
            <w:pPr>
              <w:ind w:firstLineChars="350" w:firstLine="843"/>
              <w:rPr>
                <w:rFonts w:ascii="仿宋" w:eastAsia="仿宋" w:hAnsi="仿宋" w:cs="仿宋"/>
                <w:b/>
                <w:sz w:val="24"/>
                <w:szCs w:val="24"/>
              </w:rPr>
            </w:pPr>
            <w:r>
              <w:rPr>
                <w:rFonts w:ascii="仿宋" w:eastAsia="仿宋" w:hAnsi="仿宋" w:cs="仿宋" w:hint="eastAsia"/>
                <w:b/>
                <w:sz w:val="24"/>
                <w:szCs w:val="24"/>
              </w:rPr>
              <w:t>3、其他项目为一般指标，若出现五项及以上负偏离，则视为废标</w:t>
            </w:r>
          </w:p>
          <w:p w:rsidR="006C4AD1" w:rsidRDefault="0089074F">
            <w:pPr>
              <w:ind w:firstLineChars="350" w:firstLine="843"/>
              <w:rPr>
                <w:rFonts w:ascii="楷体_GB2312" w:eastAsia="楷体_GB2312" w:hAnsi="宋体"/>
                <w:b/>
                <w:sz w:val="36"/>
                <w:szCs w:val="36"/>
              </w:rPr>
            </w:pPr>
            <w:r>
              <w:rPr>
                <w:rFonts w:ascii="仿宋" w:eastAsia="仿宋" w:hAnsi="仿宋" w:cs="仿宋" w:hint="eastAsia"/>
                <w:b/>
                <w:sz w:val="24"/>
                <w:szCs w:val="24"/>
              </w:rPr>
              <w:t>4、</w:t>
            </w:r>
            <w:r>
              <w:rPr>
                <w:rFonts w:ascii="仿宋" w:eastAsia="仿宋" w:hAnsi="仿宋" w:cs="仿宋" w:hint="eastAsia"/>
                <w:b/>
                <w:color w:val="0000FF"/>
                <w:sz w:val="24"/>
                <w:szCs w:val="24"/>
              </w:rPr>
              <w:t>论证专家组应不少于3人，使用科室1人，相关科室专家不少于2人(可邀请院外相关领域专家)</w:t>
            </w:r>
          </w:p>
        </w:tc>
      </w:tr>
    </w:tbl>
    <w:p w:rsidR="006C4AD1" w:rsidRDefault="0089074F">
      <w:pPr>
        <w:spacing w:line="300" w:lineRule="auto"/>
        <w:rPr>
          <w:rFonts w:ascii="华文中宋" w:eastAsia="华文中宋" w:hAnsi="华文中宋" w:cs="华文中宋"/>
          <w:bCs/>
          <w:sz w:val="30"/>
          <w:szCs w:val="30"/>
        </w:rPr>
      </w:pPr>
      <w:r>
        <w:rPr>
          <w:rFonts w:ascii="楷体_GB2312" w:eastAsia="楷体_GB2312" w:hAnsi="宋体" w:hint="eastAsia"/>
          <w:b/>
          <w:szCs w:val="28"/>
        </w:rPr>
        <w:t xml:space="preserve">     </w:t>
      </w:r>
      <w:r>
        <w:rPr>
          <w:rFonts w:ascii="华文中宋" w:eastAsia="华文中宋" w:hAnsi="华文中宋" w:cs="华文中宋" w:hint="eastAsia"/>
          <w:bCs/>
          <w:sz w:val="30"/>
          <w:szCs w:val="30"/>
        </w:rPr>
        <w:t xml:space="preserve"> </w:t>
      </w:r>
    </w:p>
    <w:p w:rsidR="006C4AD1" w:rsidRDefault="0089074F">
      <w:pPr>
        <w:spacing w:line="300" w:lineRule="auto"/>
        <w:ind w:firstLineChars="300" w:firstLine="904"/>
        <w:rPr>
          <w:rFonts w:asciiTheme="minorEastAsia" w:hAnsiTheme="minorEastAsia" w:cs="华文中宋"/>
          <w:b/>
          <w:bCs/>
          <w:sz w:val="30"/>
          <w:szCs w:val="30"/>
          <w:u w:val="single"/>
        </w:rPr>
      </w:pPr>
      <w:r>
        <w:rPr>
          <w:rFonts w:asciiTheme="minorEastAsia" w:hAnsiTheme="minorEastAsia"/>
          <w:b/>
          <w:noProof/>
          <w:sz w:val="30"/>
        </w:rPr>
        <mc:AlternateContent>
          <mc:Choice Requires="wps">
            <w:drawing>
              <wp:anchor distT="0" distB="0" distL="114300" distR="114300" simplePos="0" relativeHeight="251658240" behindDoc="0" locked="0" layoutInCell="1" allowOverlap="1">
                <wp:simplePos x="0" y="0"/>
                <wp:positionH relativeFrom="column">
                  <wp:posOffset>1972310</wp:posOffset>
                </wp:positionH>
                <wp:positionV relativeFrom="paragraph">
                  <wp:posOffset>303530</wp:posOffset>
                </wp:positionV>
                <wp:extent cx="1640840" cy="635"/>
                <wp:effectExtent l="10160" t="7620" r="635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084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E984FC"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3pt,23.9pt" to="284.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"/>
            </w:pict>
          </mc:Fallback>
        </mc:AlternateContent>
      </w:r>
      <w:r>
        <w:rPr>
          <w:rFonts w:asciiTheme="minorEastAsia" w:hAnsiTheme="minorEastAsia" w:cs="华文中宋" w:hint="eastAsia"/>
          <w:b/>
          <w:bCs/>
          <w:sz w:val="30"/>
          <w:szCs w:val="30"/>
        </w:rPr>
        <w:t>科室主任签字：</w:t>
      </w:r>
      <w:r>
        <w:rPr>
          <w:rFonts w:asciiTheme="minorEastAsia" w:hAnsiTheme="minorEastAsia" w:cs="华文中宋" w:hint="eastAsia"/>
          <w:b/>
          <w:bCs/>
          <w:sz w:val="30"/>
          <w:szCs w:val="30"/>
          <w:u w:val="single"/>
        </w:rPr>
        <w:t xml:space="preserve"> </w:t>
      </w:r>
    </w:p>
    <w:p w:rsidR="006C4AD1" w:rsidRDefault="006C4AD1">
      <w:pPr>
        <w:spacing w:line="300" w:lineRule="auto"/>
        <w:ind w:firstLineChars="300" w:firstLine="904"/>
        <w:rPr>
          <w:rFonts w:asciiTheme="minorEastAsia" w:hAnsiTheme="minorEastAsia" w:cs="华文中宋"/>
          <w:b/>
          <w:bCs/>
          <w:sz w:val="30"/>
          <w:szCs w:val="30"/>
          <w:u w:val="single"/>
        </w:rPr>
      </w:pPr>
    </w:p>
    <w:p w:rsidR="006C4AD1" w:rsidRDefault="0089074F">
      <w:pPr>
        <w:spacing w:line="300" w:lineRule="auto"/>
        <w:ind w:firstLineChars="300" w:firstLine="904"/>
        <w:rPr>
          <w:rFonts w:ascii="华文中宋" w:eastAsia="华文中宋" w:hAnsi="华文中宋" w:cs="华文中宋"/>
          <w:bCs/>
          <w:sz w:val="30"/>
          <w:szCs w:val="30"/>
          <w:u w:val="single"/>
        </w:rPr>
      </w:pPr>
      <w:r>
        <w:rPr>
          <w:rFonts w:asciiTheme="minorEastAsia" w:hAnsiTheme="minorEastAsia"/>
          <w:b/>
          <w:noProof/>
          <w:sz w:val="30"/>
        </w:rPr>
        <mc:AlternateContent>
          <mc:Choice Requires="wps">
            <w:drawing>
              <wp:anchor distT="0" distB="0" distL="114300" distR="114300" simplePos="0" relativeHeight="251659264" behindDoc="0" locked="0" layoutInCell="1" allowOverlap="1">
                <wp:simplePos x="0" y="0"/>
                <wp:positionH relativeFrom="column">
                  <wp:posOffset>2089150</wp:posOffset>
                </wp:positionH>
                <wp:positionV relativeFrom="paragraph">
                  <wp:posOffset>295275</wp:posOffset>
                </wp:positionV>
                <wp:extent cx="3724910" cy="635"/>
                <wp:effectExtent l="12700" t="10795" r="571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9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4EB18A"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5pt,23.25pt" to="457.8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"/>
            </w:pict>
          </mc:Fallback>
        </mc:AlternateContent>
      </w:r>
      <w:r>
        <w:rPr>
          <w:rFonts w:asciiTheme="minorEastAsia" w:hAnsiTheme="minorEastAsia" w:cs="华文中宋" w:hint="eastAsia"/>
          <w:b/>
          <w:bCs/>
          <w:sz w:val="30"/>
          <w:szCs w:val="30"/>
        </w:rPr>
        <w:t>论证专家组签字：</w:t>
      </w:r>
      <w:r>
        <w:rPr>
          <w:rFonts w:ascii="华文中宋" w:eastAsia="华文中宋" w:hAnsi="华文中宋" w:cs="华文中宋" w:hint="eastAsia"/>
          <w:bCs/>
          <w:sz w:val="30"/>
          <w:szCs w:val="30"/>
          <w:u w:val="single"/>
        </w:rPr>
        <w:t xml:space="preserve"> </w:t>
      </w:r>
    </w:p>
    <w:p w:rsidR="006C4AD1" w:rsidRDefault="006C4AD1"/>
    <w:p w:rsidR="006C4AD1" w:rsidRDefault="006C4AD1">
      <w:pPr>
        <w:ind w:firstLineChars="2500" w:firstLine="7027"/>
        <w:rPr>
          <w:b/>
        </w:rPr>
      </w:pPr>
    </w:p>
    <w:p w:rsidR="006C4AD1" w:rsidRDefault="0089074F">
      <w:pPr>
        <w:ind w:firstLineChars="2500" w:firstLine="7027"/>
        <w:rPr>
          <w:b/>
        </w:rPr>
      </w:pPr>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sectPr w:rsidR="006C4AD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74F" w:rsidRDefault="0089074F" w:rsidP="0089074F">
      <w:r>
        <w:separator/>
      </w:r>
    </w:p>
  </w:endnote>
  <w:endnote w:type="continuationSeparator" w:id="0">
    <w:p w:rsidR="0089074F" w:rsidRDefault="0089074F" w:rsidP="0089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287" w:usb1="080F0000" w:usb2="00000010" w:usb3="00000000" w:csb0="0004009F" w:csb1="00000000"/>
  </w:font>
  <w:font w:name="Segoe UI Symbol">
    <w:panose1 w:val="020B0502040204020203"/>
    <w:charset w:val="00"/>
    <w:family w:val="swiss"/>
    <w:pitch w:val="variable"/>
    <w:sig w:usb0="8000006F" w:usb1="1200FBEF" w:usb2="0004C000" w:usb3="00000000" w:csb0="00000001"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74F" w:rsidRDefault="0089074F" w:rsidP="0089074F">
      <w:r>
        <w:separator/>
      </w:r>
    </w:p>
  </w:footnote>
  <w:footnote w:type="continuationSeparator" w:id="0">
    <w:p w:rsidR="0089074F" w:rsidRDefault="0089074F" w:rsidP="00890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noPunctuationKerning/>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F95F72"/>
    <w:rsid w:val="0003276F"/>
    <w:rsid w:val="00033DC9"/>
    <w:rsid w:val="00041A2E"/>
    <w:rsid w:val="00115EEC"/>
    <w:rsid w:val="00122041"/>
    <w:rsid w:val="00162540"/>
    <w:rsid w:val="001B52E8"/>
    <w:rsid w:val="001C3E92"/>
    <w:rsid w:val="00236AE6"/>
    <w:rsid w:val="0032255F"/>
    <w:rsid w:val="00371340"/>
    <w:rsid w:val="0046625D"/>
    <w:rsid w:val="004B2C8F"/>
    <w:rsid w:val="00572F07"/>
    <w:rsid w:val="005D0783"/>
    <w:rsid w:val="00607BE9"/>
    <w:rsid w:val="00607E7A"/>
    <w:rsid w:val="006B2EBE"/>
    <w:rsid w:val="006C4AD1"/>
    <w:rsid w:val="0076253C"/>
    <w:rsid w:val="00783D50"/>
    <w:rsid w:val="00792A95"/>
    <w:rsid w:val="007F0031"/>
    <w:rsid w:val="0089074F"/>
    <w:rsid w:val="00923802"/>
    <w:rsid w:val="009335AA"/>
    <w:rsid w:val="00CA6C8F"/>
    <w:rsid w:val="00CD006F"/>
    <w:rsid w:val="00D47CFF"/>
    <w:rsid w:val="00E16B86"/>
    <w:rsid w:val="00E16B8C"/>
    <w:rsid w:val="07517E2E"/>
    <w:rsid w:val="080B363C"/>
    <w:rsid w:val="09064409"/>
    <w:rsid w:val="104B1AB9"/>
    <w:rsid w:val="25F433C6"/>
    <w:rsid w:val="26005ABD"/>
    <w:rsid w:val="2C1D1B69"/>
    <w:rsid w:val="2D9F7D6A"/>
    <w:rsid w:val="2E110A97"/>
    <w:rsid w:val="360F782A"/>
    <w:rsid w:val="38175CE8"/>
    <w:rsid w:val="3D0E6134"/>
    <w:rsid w:val="43D00E62"/>
    <w:rsid w:val="459F175D"/>
    <w:rsid w:val="46662F6D"/>
    <w:rsid w:val="4F2C3DC3"/>
    <w:rsid w:val="51F95F72"/>
    <w:rsid w:val="53E17CCB"/>
    <w:rsid w:val="55EF1326"/>
    <w:rsid w:val="57DE293D"/>
    <w:rsid w:val="592D2F57"/>
    <w:rsid w:val="62825CCB"/>
    <w:rsid w:val="66880C40"/>
    <w:rsid w:val="76E36F16"/>
    <w:rsid w:val="7DDE2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5E98C535"/>
  <w15:docId w15:val="{99BBC9D1-EE29-4398-A8BD-6181A2C3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styleId="a9">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150</Words>
  <Characters>859</Characters>
  <Application>Microsoft Office Word</Application>
  <DocSecurity>0</DocSecurity>
  <Lines>7</Lines>
  <Paragraphs>2</Paragraphs>
  <ScaleCrop>false</ScaleCrop>
  <Company>china</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2018-08-14T01:07:00Z</cp:lastPrinted>
  <dcterms:created xsi:type="dcterms:W3CDTF">2018-08-24T01:15:00Z</dcterms:created>
  <dcterms:modified xsi:type="dcterms:W3CDTF">2018-08-24T01:28:00Z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